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60" w:rsidRDefault="00E17FC9" w:rsidP="00E17FC9">
      <w:pPr>
        <w:jc w:val="center"/>
        <w:rPr>
          <w:rFonts w:ascii="Times New Roman" w:hAnsi="Times New Roman" w:cs="Times New Roman"/>
        </w:rPr>
      </w:pPr>
      <w:r>
        <w:rPr>
          <w:rFonts w:ascii="Times New Roman" w:hAnsi="Times New Roman" w:cs="Times New Roman"/>
          <w:b/>
        </w:rPr>
        <w:t>The Social Vision of Magna Carta</w:t>
      </w:r>
    </w:p>
    <w:p w:rsidR="00402E7E" w:rsidRDefault="00E17FC9" w:rsidP="00E10D40">
      <w:pPr>
        <w:jc w:val="center"/>
        <w:rPr>
          <w:rFonts w:ascii="Times New Roman" w:hAnsi="Times New Roman" w:cs="Times New Roman"/>
        </w:rPr>
      </w:pPr>
      <w:r>
        <w:rPr>
          <w:rFonts w:ascii="Times New Roman" w:hAnsi="Times New Roman" w:cs="Times New Roman"/>
        </w:rPr>
        <w:t xml:space="preserve">Dr. Ted R. Bromund, Senior Research Fellow in Anglo-American Relations, </w:t>
      </w:r>
    </w:p>
    <w:p w:rsidR="00E10D40" w:rsidRDefault="00E17FC9" w:rsidP="00E10D40">
      <w:pPr>
        <w:jc w:val="center"/>
        <w:rPr>
          <w:rFonts w:ascii="Times New Roman" w:hAnsi="Times New Roman" w:cs="Times New Roman"/>
        </w:rPr>
      </w:pPr>
      <w:r>
        <w:rPr>
          <w:rFonts w:ascii="Times New Roman" w:hAnsi="Times New Roman" w:cs="Times New Roman"/>
        </w:rPr>
        <w:t xml:space="preserve">The Margaret Thatcher Center for Freedom, </w:t>
      </w:r>
      <w:proofErr w:type="gramStart"/>
      <w:r>
        <w:rPr>
          <w:rFonts w:ascii="Times New Roman" w:hAnsi="Times New Roman" w:cs="Times New Roman"/>
        </w:rPr>
        <w:t>The</w:t>
      </w:r>
      <w:proofErr w:type="gramEnd"/>
      <w:r>
        <w:rPr>
          <w:rFonts w:ascii="Times New Roman" w:hAnsi="Times New Roman" w:cs="Times New Roman"/>
        </w:rPr>
        <w:t xml:space="preserve"> Heritage Foundation</w:t>
      </w:r>
    </w:p>
    <w:p w:rsidR="00E17FC9" w:rsidRDefault="00E17FC9" w:rsidP="00E17FC9">
      <w:pPr>
        <w:jc w:val="center"/>
        <w:rPr>
          <w:rFonts w:ascii="Times New Roman" w:hAnsi="Times New Roman" w:cs="Times New Roman"/>
        </w:rPr>
      </w:pPr>
    </w:p>
    <w:p w:rsidR="00536C29" w:rsidRDefault="006340E6" w:rsidP="00402E7E">
      <w:pPr>
        <w:spacing w:line="480" w:lineRule="auto"/>
        <w:ind w:firstLine="720"/>
        <w:rPr>
          <w:rFonts w:ascii="Times New Roman" w:hAnsi="Times New Roman" w:cs="Times New Roman"/>
        </w:rPr>
      </w:pPr>
      <w:r>
        <w:rPr>
          <w:rFonts w:ascii="Times New Roman" w:hAnsi="Times New Roman" w:cs="Times New Roman"/>
        </w:rPr>
        <w:t>I am honored to have the opportunity to close this wonderful conference on the Magna Carta – we Americans can’t help but add the “the,” if only to emphasize that we hold the Charter higher in</w:t>
      </w:r>
      <w:r w:rsidR="00593E52">
        <w:rPr>
          <w:rFonts w:ascii="Times New Roman" w:hAnsi="Times New Roman" w:cs="Times New Roman"/>
        </w:rPr>
        <w:t xml:space="preserve"> our esteem than the English do:</w:t>
      </w:r>
      <w:r>
        <w:rPr>
          <w:rFonts w:ascii="Times New Roman" w:hAnsi="Times New Roman" w:cs="Times New Roman"/>
        </w:rPr>
        <w:t xml:space="preserve"> </w:t>
      </w:r>
      <w:r w:rsidR="00593E52">
        <w:rPr>
          <w:rFonts w:ascii="Times New Roman" w:hAnsi="Times New Roman" w:cs="Times New Roman"/>
        </w:rPr>
        <w:t xml:space="preserve">I’m reminded of Prime Minister David Cameron’s appearance on the David Letterman Show, during which he proved unable to explain what the term “Magna Carta” means. </w:t>
      </w:r>
      <w:r w:rsidR="00536C29">
        <w:rPr>
          <w:rFonts w:ascii="Times New Roman" w:hAnsi="Times New Roman" w:cs="Times New Roman"/>
        </w:rPr>
        <w:t xml:space="preserve">I can hardly hope to tell this expert audience anything it does not know about the origins of Magna Carta, or the meandering course of its </w:t>
      </w:r>
      <w:r w:rsidR="008A37DA">
        <w:rPr>
          <w:rFonts w:ascii="Times New Roman" w:hAnsi="Times New Roman" w:cs="Times New Roman"/>
        </w:rPr>
        <w:t>creation, life</w:t>
      </w:r>
      <w:r w:rsidR="00536C29">
        <w:rPr>
          <w:rFonts w:ascii="Times New Roman" w:hAnsi="Times New Roman" w:cs="Times New Roman"/>
        </w:rPr>
        <w:t xml:space="preserve">, interpretations, and influence since 1215. But as mine is the last paper on the last panel of the last day of the conference – and as even the toughest scholarly </w:t>
      </w:r>
      <w:proofErr w:type="spellStart"/>
      <w:r w:rsidR="00536C29">
        <w:rPr>
          <w:rFonts w:ascii="Times New Roman" w:hAnsi="Times New Roman" w:cs="Times New Roman"/>
          <w:i/>
        </w:rPr>
        <w:t>sitzfleisch</w:t>
      </w:r>
      <w:proofErr w:type="spellEnd"/>
      <w:r w:rsidR="00536C29">
        <w:rPr>
          <w:rFonts w:ascii="Times New Roman" w:hAnsi="Times New Roman" w:cs="Times New Roman"/>
        </w:rPr>
        <w:t xml:space="preserve"> begins to grow weary after three days – I thought it would be apt to close with wider reflections on </w:t>
      </w:r>
      <w:r w:rsidR="006B5FB0">
        <w:rPr>
          <w:rFonts w:ascii="Times New Roman" w:hAnsi="Times New Roman" w:cs="Times New Roman"/>
        </w:rPr>
        <w:t xml:space="preserve">the social vision of Magna Carta, and on how the ways we have chosen to remember and celebrate the Charter neglect, or even diminish, that vision. </w:t>
      </w:r>
      <w:r w:rsidR="00593E52">
        <w:rPr>
          <w:rFonts w:ascii="Times New Roman" w:hAnsi="Times New Roman" w:cs="Times New Roman"/>
        </w:rPr>
        <w:t>Our</w:t>
      </w:r>
      <w:r w:rsidR="00111163">
        <w:rPr>
          <w:rFonts w:ascii="Times New Roman" w:hAnsi="Times New Roman" w:cs="Times New Roman"/>
        </w:rPr>
        <w:t xml:space="preserve"> sense of what is valuable</w:t>
      </w:r>
      <w:r w:rsidR="008A37DA">
        <w:rPr>
          <w:rFonts w:ascii="Times New Roman" w:hAnsi="Times New Roman" w:cs="Times New Roman"/>
        </w:rPr>
        <w:t xml:space="preserve"> and memorable</w:t>
      </w:r>
      <w:r w:rsidR="00111163">
        <w:rPr>
          <w:rFonts w:ascii="Times New Roman" w:hAnsi="Times New Roman" w:cs="Times New Roman"/>
        </w:rPr>
        <w:t xml:space="preserve"> in Magna Carta reflects the pre-occupations of this legalistic era. But law, today as in 1215, swims in a sea of society and culture, and focusing on the former can only distort the context provided by the latter.</w:t>
      </w:r>
      <w:r w:rsidR="00593E52">
        <w:rPr>
          <w:rFonts w:ascii="Times New Roman" w:hAnsi="Times New Roman" w:cs="Times New Roman"/>
        </w:rPr>
        <w:t xml:space="preserve"> This sense of lost meaning is particularly appropriate given the previous two papers in this conference, both of which focused on the ways in which Magna Carta has ‘gone missing’ in parts of the world.</w:t>
      </w:r>
    </w:p>
    <w:p w:rsidR="00111163" w:rsidRDefault="00111163" w:rsidP="006340E6">
      <w:pPr>
        <w:spacing w:line="480" w:lineRule="auto"/>
        <w:rPr>
          <w:rFonts w:ascii="Times New Roman" w:hAnsi="Times New Roman" w:cs="Times New Roman"/>
        </w:rPr>
      </w:pPr>
      <w:r>
        <w:rPr>
          <w:rFonts w:ascii="Times New Roman" w:hAnsi="Times New Roman" w:cs="Times New Roman"/>
        </w:rPr>
        <w:tab/>
        <w:t>My starting point, therefore, is that</w:t>
      </w:r>
      <w:r w:rsidR="008A37DA">
        <w:rPr>
          <w:rFonts w:ascii="Times New Roman" w:hAnsi="Times New Roman" w:cs="Times New Roman"/>
        </w:rPr>
        <w:t>, as I observed them,</w:t>
      </w:r>
      <w:r>
        <w:rPr>
          <w:rFonts w:ascii="Times New Roman" w:hAnsi="Times New Roman" w:cs="Times New Roman"/>
        </w:rPr>
        <w:t xml:space="preserve"> </w:t>
      </w:r>
      <w:r w:rsidR="00906C74">
        <w:rPr>
          <w:rFonts w:ascii="Times New Roman" w:hAnsi="Times New Roman" w:cs="Times New Roman"/>
        </w:rPr>
        <w:t>the</w:t>
      </w:r>
      <w:r>
        <w:rPr>
          <w:rFonts w:ascii="Times New Roman" w:hAnsi="Times New Roman" w:cs="Times New Roman"/>
        </w:rPr>
        <w:t xml:space="preserve"> emphasis in most commemorations of Magna Carta in 2015 </w:t>
      </w:r>
      <w:r w:rsidR="00906C74">
        <w:rPr>
          <w:rFonts w:ascii="Times New Roman" w:hAnsi="Times New Roman" w:cs="Times New Roman"/>
        </w:rPr>
        <w:t>centered</w:t>
      </w:r>
      <w:r w:rsidR="00135BCD">
        <w:rPr>
          <w:rFonts w:ascii="Times New Roman" w:hAnsi="Times New Roman" w:cs="Times New Roman"/>
        </w:rPr>
        <w:t>, not always knowingly or explicitly,</w:t>
      </w:r>
      <w:r>
        <w:rPr>
          <w:rFonts w:ascii="Times New Roman" w:hAnsi="Times New Roman" w:cs="Times New Roman"/>
        </w:rPr>
        <w:t xml:space="preserve"> on its Chapter</w:t>
      </w:r>
      <w:r w:rsidR="002E4E00">
        <w:rPr>
          <w:rFonts w:ascii="Times New Roman" w:hAnsi="Times New Roman" w:cs="Times New Roman"/>
        </w:rPr>
        <w:t>s</w:t>
      </w:r>
      <w:r>
        <w:rPr>
          <w:rFonts w:ascii="Times New Roman" w:hAnsi="Times New Roman" w:cs="Times New Roman"/>
        </w:rPr>
        <w:t xml:space="preserve"> </w:t>
      </w:r>
      <w:r w:rsidR="002E4E00">
        <w:rPr>
          <w:rFonts w:ascii="Times New Roman" w:hAnsi="Times New Roman" w:cs="Times New Roman"/>
        </w:rPr>
        <w:t>39 and 40</w:t>
      </w:r>
      <w:r>
        <w:rPr>
          <w:rFonts w:ascii="Times New Roman" w:hAnsi="Times New Roman" w:cs="Times New Roman"/>
        </w:rPr>
        <w:t>: “</w:t>
      </w:r>
      <w:r w:rsidR="002E4E00">
        <w:rPr>
          <w:rFonts w:ascii="Times New Roman" w:hAnsi="Times New Roman" w:cs="Times New Roman"/>
        </w:rPr>
        <w:t xml:space="preserve">No free man shall be arrested . . </w:t>
      </w:r>
      <w:r w:rsidR="0027297B">
        <w:rPr>
          <w:rFonts w:ascii="Times New Roman" w:hAnsi="Times New Roman" w:cs="Times New Roman"/>
        </w:rPr>
        <w:t xml:space="preserve">. </w:t>
      </w:r>
      <w:r w:rsidR="002E4E00">
        <w:rPr>
          <w:rFonts w:ascii="Times New Roman" w:hAnsi="Times New Roman" w:cs="Times New Roman"/>
        </w:rPr>
        <w:t xml:space="preserve">except by the lawful judgment of his peers or by the law of the land. . . </w:t>
      </w:r>
      <w:r>
        <w:rPr>
          <w:rFonts w:ascii="Times New Roman" w:hAnsi="Times New Roman" w:cs="Times New Roman"/>
        </w:rPr>
        <w:t xml:space="preserve">To no one will we sell, to no one will we refuse or delay right or justice.” </w:t>
      </w:r>
      <w:r w:rsidR="00980C30">
        <w:rPr>
          <w:rFonts w:ascii="Times New Roman" w:hAnsi="Times New Roman" w:cs="Times New Roman"/>
        </w:rPr>
        <w:t xml:space="preserve">In other words, </w:t>
      </w:r>
      <w:r w:rsidR="00593E52">
        <w:rPr>
          <w:rFonts w:ascii="Times New Roman" w:hAnsi="Times New Roman" w:cs="Times New Roman"/>
        </w:rPr>
        <w:t>the</w:t>
      </w:r>
      <w:r w:rsidR="00980C30">
        <w:rPr>
          <w:rFonts w:ascii="Times New Roman" w:hAnsi="Times New Roman" w:cs="Times New Roman"/>
        </w:rPr>
        <w:t xml:space="preserve"> commemorations followed the well-established tradition of understanding Magna Carta as the beginning of – or at least a milestone on – the road to resistance against arbitrary government. In this tradition, we commemorate the </w:t>
      </w:r>
      <w:r w:rsidR="00E74B82">
        <w:rPr>
          <w:rFonts w:ascii="Times New Roman" w:hAnsi="Times New Roman" w:cs="Times New Roman"/>
        </w:rPr>
        <w:t>Charter</w:t>
      </w:r>
      <w:r w:rsidR="00FF134F">
        <w:rPr>
          <w:rFonts w:ascii="Times New Roman" w:hAnsi="Times New Roman" w:cs="Times New Roman"/>
        </w:rPr>
        <w:t xml:space="preserve"> because, in the form of a written constitution, </w:t>
      </w:r>
      <w:r w:rsidR="00980C30">
        <w:rPr>
          <w:rFonts w:ascii="Times New Roman" w:hAnsi="Times New Roman" w:cs="Times New Roman"/>
        </w:rPr>
        <w:t xml:space="preserve">it set out the idea that the law is above government. </w:t>
      </w:r>
      <w:r w:rsidR="00E74B82">
        <w:rPr>
          <w:rFonts w:ascii="Times New Roman" w:hAnsi="Times New Roman" w:cs="Times New Roman"/>
        </w:rPr>
        <w:t xml:space="preserve">To </w:t>
      </w:r>
      <w:r w:rsidR="007E3AAA">
        <w:rPr>
          <w:rFonts w:ascii="Times New Roman" w:hAnsi="Times New Roman" w:cs="Times New Roman"/>
        </w:rPr>
        <w:t>return</w:t>
      </w:r>
      <w:r w:rsidR="00E74B82">
        <w:rPr>
          <w:rFonts w:ascii="Times New Roman" w:hAnsi="Times New Roman" w:cs="Times New Roman"/>
        </w:rPr>
        <w:t xml:space="preserve"> to Lord Denning’s famous summary, Magna Carta was “the greatest constitutional document of all time, the foundation of the freedom of the individual against the arbitrary authority of the despot.” </w:t>
      </w:r>
      <w:r w:rsidR="00980C30">
        <w:rPr>
          <w:rFonts w:ascii="Times New Roman" w:hAnsi="Times New Roman" w:cs="Times New Roman"/>
        </w:rPr>
        <w:t xml:space="preserve">And that is certainly the interpretation that has dominated the political </w:t>
      </w:r>
      <w:r w:rsidR="00E74B82">
        <w:rPr>
          <w:rFonts w:ascii="Times New Roman" w:hAnsi="Times New Roman" w:cs="Times New Roman"/>
        </w:rPr>
        <w:t>use of Magna Carta since 1215, f</w:t>
      </w:r>
      <w:r w:rsidR="00980C30">
        <w:rPr>
          <w:rFonts w:ascii="Times New Roman" w:hAnsi="Times New Roman" w:cs="Times New Roman"/>
        </w:rPr>
        <w:t xml:space="preserve">rom </w:t>
      </w:r>
      <w:r w:rsidR="00980C30">
        <w:rPr>
          <w:rFonts w:ascii="Times New Roman" w:hAnsi="Times New Roman" w:cs="Times New Roman"/>
        </w:rPr>
        <w:lastRenderedPageBreak/>
        <w:t xml:space="preserve">Stuart-era jurists </w:t>
      </w:r>
      <w:r w:rsidR="00E74B82">
        <w:rPr>
          <w:rFonts w:ascii="Times New Roman" w:hAnsi="Times New Roman" w:cs="Times New Roman"/>
        </w:rPr>
        <w:t xml:space="preserve">such as Sir Edward Coke </w:t>
      </w:r>
      <w:r w:rsidR="00980C30">
        <w:rPr>
          <w:rFonts w:ascii="Times New Roman" w:hAnsi="Times New Roman" w:cs="Times New Roman"/>
        </w:rPr>
        <w:t>to the Massachus</w:t>
      </w:r>
      <w:r w:rsidR="00E74B82">
        <w:rPr>
          <w:rFonts w:ascii="Times New Roman" w:hAnsi="Times New Roman" w:cs="Times New Roman"/>
        </w:rPr>
        <w:t xml:space="preserve">etts Body of Liberties of 1641 to William Penn’s publication of the first edition of Magna Carta in the New World in 1687. As Penn put it, “In France, and other nations, the mere will of the Prince is Law . . . . But in England, each man hath a Fundamental Right born with him.” </w:t>
      </w:r>
    </w:p>
    <w:p w:rsidR="00D22FAC" w:rsidRDefault="00E74B82" w:rsidP="006340E6">
      <w:pPr>
        <w:spacing w:line="480" w:lineRule="auto"/>
        <w:rPr>
          <w:rFonts w:ascii="Times New Roman" w:hAnsi="Times New Roman" w:cs="Times New Roman"/>
        </w:rPr>
      </w:pPr>
      <w:r>
        <w:rPr>
          <w:rFonts w:ascii="Times New Roman" w:hAnsi="Times New Roman" w:cs="Times New Roman"/>
        </w:rPr>
        <w:tab/>
        <w:t xml:space="preserve">Penn’s emphasis on “Fundamental Right” </w:t>
      </w:r>
      <w:r w:rsidR="00593E52">
        <w:rPr>
          <w:rFonts w:ascii="Times New Roman" w:hAnsi="Times New Roman" w:cs="Times New Roman"/>
        </w:rPr>
        <w:t>– like Sam Adams’ similar demand about natural rights in 1772</w:t>
      </w:r>
      <w:r w:rsidR="00593E52">
        <w:rPr>
          <w:rFonts w:ascii="Times New Roman" w:hAnsi="Times New Roman" w:cs="Times New Roman"/>
        </w:rPr>
        <w:t xml:space="preserve"> – </w:t>
      </w:r>
      <w:r w:rsidR="00135BCD">
        <w:rPr>
          <w:rFonts w:ascii="Times New Roman" w:hAnsi="Times New Roman" w:cs="Times New Roman"/>
        </w:rPr>
        <w:t>sounds modern</w:t>
      </w:r>
      <w:r w:rsidR="00593E52">
        <w:rPr>
          <w:rFonts w:ascii="Times New Roman" w:hAnsi="Times New Roman" w:cs="Times New Roman"/>
        </w:rPr>
        <w:t>, or perhaps I should say American</w:t>
      </w:r>
      <w:r w:rsidR="00135BCD">
        <w:rPr>
          <w:rFonts w:ascii="Times New Roman" w:hAnsi="Times New Roman" w:cs="Times New Roman"/>
        </w:rPr>
        <w:t xml:space="preserve">. </w:t>
      </w:r>
      <w:r w:rsidR="00075AF7">
        <w:rPr>
          <w:rFonts w:ascii="Times New Roman" w:hAnsi="Times New Roman" w:cs="Times New Roman"/>
        </w:rPr>
        <w:t xml:space="preserve">And so it is. </w:t>
      </w:r>
      <w:r w:rsidR="007E3AAA">
        <w:rPr>
          <w:rFonts w:ascii="Times New Roman" w:hAnsi="Times New Roman" w:cs="Times New Roman"/>
        </w:rPr>
        <w:t>Protection from arbitrary govern</w:t>
      </w:r>
      <w:r w:rsidR="00FF134F">
        <w:rPr>
          <w:rFonts w:ascii="Times New Roman" w:hAnsi="Times New Roman" w:cs="Times New Roman"/>
        </w:rPr>
        <w:t xml:space="preserve">ment could </w:t>
      </w:r>
      <w:r w:rsidR="008A37DA">
        <w:rPr>
          <w:rFonts w:ascii="Times New Roman" w:hAnsi="Times New Roman" w:cs="Times New Roman"/>
        </w:rPr>
        <w:t xml:space="preserve">in theory </w:t>
      </w:r>
      <w:r w:rsidR="007E3AAA">
        <w:rPr>
          <w:rFonts w:ascii="Times New Roman" w:hAnsi="Times New Roman" w:cs="Times New Roman"/>
        </w:rPr>
        <w:t xml:space="preserve">come from an administrative commitment to process, </w:t>
      </w:r>
      <w:r w:rsidR="00873109">
        <w:rPr>
          <w:rFonts w:ascii="Times New Roman" w:hAnsi="Times New Roman" w:cs="Times New Roman"/>
        </w:rPr>
        <w:t xml:space="preserve">or from an institution like the House of Commons, which until quite recently had a limited franchise and was certainly not based on any idea that full participation in the political system was a natural, inherent right. </w:t>
      </w:r>
      <w:r w:rsidR="00593E52">
        <w:rPr>
          <w:rFonts w:ascii="Times New Roman" w:hAnsi="Times New Roman" w:cs="Times New Roman"/>
        </w:rPr>
        <w:t xml:space="preserve">Indeed, the British tradition has been to see Magna Carta as central to the rise of the parliamentary system. </w:t>
      </w:r>
      <w:r w:rsidR="00873109">
        <w:rPr>
          <w:rFonts w:ascii="Times New Roman" w:hAnsi="Times New Roman" w:cs="Times New Roman"/>
        </w:rPr>
        <w:t xml:space="preserve">But today, </w:t>
      </w:r>
      <w:r w:rsidR="007E3AAA">
        <w:rPr>
          <w:rFonts w:ascii="Times New Roman" w:hAnsi="Times New Roman" w:cs="Times New Roman"/>
        </w:rPr>
        <w:t>we emphasize – just as Penn did – the importance of substantive</w:t>
      </w:r>
      <w:r w:rsidR="00873109">
        <w:rPr>
          <w:rFonts w:ascii="Times New Roman" w:hAnsi="Times New Roman" w:cs="Times New Roman"/>
        </w:rPr>
        <w:t>, universal</w:t>
      </w:r>
      <w:r w:rsidR="000A4A42">
        <w:rPr>
          <w:rFonts w:ascii="Times New Roman" w:hAnsi="Times New Roman" w:cs="Times New Roman"/>
        </w:rPr>
        <w:t xml:space="preserve"> rights</w:t>
      </w:r>
      <w:r w:rsidR="00593E52">
        <w:rPr>
          <w:rFonts w:ascii="Times New Roman" w:hAnsi="Times New Roman" w:cs="Times New Roman"/>
        </w:rPr>
        <w:t>: I have been struck by how many speakers in this conference, starting with Dominic Grieve MP, have followed, or fallen into, this American tradition, not the British one</w:t>
      </w:r>
      <w:r w:rsidR="000A4A42">
        <w:rPr>
          <w:rFonts w:ascii="Times New Roman" w:hAnsi="Times New Roman" w:cs="Times New Roman"/>
        </w:rPr>
        <w:t>.</w:t>
      </w:r>
      <w:r w:rsidR="007E3AAA">
        <w:rPr>
          <w:rFonts w:ascii="Times New Roman" w:hAnsi="Times New Roman" w:cs="Times New Roman"/>
        </w:rPr>
        <w:t xml:space="preserve"> </w:t>
      </w:r>
      <w:r w:rsidR="00593E52">
        <w:rPr>
          <w:rFonts w:ascii="Times New Roman" w:hAnsi="Times New Roman" w:cs="Times New Roman"/>
        </w:rPr>
        <w:t>Thus, in</w:t>
      </w:r>
      <w:r w:rsidR="00873109">
        <w:rPr>
          <w:rFonts w:ascii="Times New Roman" w:hAnsi="Times New Roman" w:cs="Times New Roman"/>
        </w:rPr>
        <w:t xml:space="preserve"> commemorating Magna Carta, we tended to collapse the concept of limits on arbitrary power into a celebration of human rights</w:t>
      </w:r>
      <w:r w:rsidR="00593E52">
        <w:rPr>
          <w:rFonts w:ascii="Times New Roman" w:hAnsi="Times New Roman" w:cs="Times New Roman"/>
        </w:rPr>
        <w:t xml:space="preserve">. This is a triumph for the American interpretation, though admittedly the American interpretation itself, as Professor Dickinson pointed out, is also a radical English one born </w:t>
      </w:r>
      <w:r w:rsidR="00D22FAC">
        <w:rPr>
          <w:rFonts w:ascii="Times New Roman" w:hAnsi="Times New Roman" w:cs="Times New Roman"/>
        </w:rPr>
        <w:t>of 1689 and the radical belief that rights secured then were under assault in 18</w:t>
      </w:r>
      <w:r w:rsidR="00D22FAC" w:rsidRPr="00D22FAC">
        <w:rPr>
          <w:rFonts w:ascii="Times New Roman" w:hAnsi="Times New Roman" w:cs="Times New Roman"/>
          <w:vertAlign w:val="superscript"/>
        </w:rPr>
        <w:t>th</w:t>
      </w:r>
      <w:r w:rsidR="00D22FAC">
        <w:rPr>
          <w:rFonts w:ascii="Times New Roman" w:hAnsi="Times New Roman" w:cs="Times New Roman"/>
        </w:rPr>
        <w:t xml:space="preserve"> century Britain</w:t>
      </w:r>
      <w:r w:rsidR="00873109">
        <w:rPr>
          <w:rFonts w:ascii="Times New Roman" w:hAnsi="Times New Roman" w:cs="Times New Roman"/>
        </w:rPr>
        <w:t xml:space="preserve">. </w:t>
      </w:r>
    </w:p>
    <w:p w:rsidR="00873109" w:rsidRDefault="000A4A42" w:rsidP="00D22FAC">
      <w:pPr>
        <w:spacing w:line="480" w:lineRule="auto"/>
        <w:ind w:firstLine="720"/>
        <w:rPr>
          <w:rFonts w:ascii="Times New Roman" w:hAnsi="Times New Roman" w:cs="Times New Roman"/>
        </w:rPr>
      </w:pPr>
      <w:r>
        <w:rPr>
          <w:rFonts w:ascii="Times New Roman" w:hAnsi="Times New Roman" w:cs="Times New Roman"/>
        </w:rPr>
        <w:t xml:space="preserve">True, some of the </w:t>
      </w:r>
      <w:r w:rsidR="00BA7053">
        <w:rPr>
          <w:rFonts w:ascii="Times New Roman" w:hAnsi="Times New Roman" w:cs="Times New Roman"/>
        </w:rPr>
        <w:t>more</w:t>
      </w:r>
      <w:r>
        <w:rPr>
          <w:rFonts w:ascii="Times New Roman" w:hAnsi="Times New Roman" w:cs="Times New Roman"/>
        </w:rPr>
        <w:t xml:space="preserve"> though-provoking commentaries on the Charter’s 800</w:t>
      </w:r>
      <w:r w:rsidRPr="000A4A42">
        <w:rPr>
          <w:rFonts w:ascii="Times New Roman" w:hAnsi="Times New Roman" w:cs="Times New Roman"/>
          <w:vertAlign w:val="superscript"/>
        </w:rPr>
        <w:t>th</w:t>
      </w:r>
      <w:r>
        <w:rPr>
          <w:rFonts w:ascii="Times New Roman" w:hAnsi="Times New Roman" w:cs="Times New Roman"/>
        </w:rPr>
        <w:t xml:space="preserve"> anniversary focused on the rise of the administrative state as the modern equiva</w:t>
      </w:r>
      <w:r w:rsidR="00D22FAC">
        <w:rPr>
          <w:rFonts w:ascii="Times New Roman" w:hAnsi="Times New Roman" w:cs="Times New Roman"/>
        </w:rPr>
        <w:t xml:space="preserve">lent of King John: I am thinking here, in particular, of Philip Hamburger’s stimulating and important book </w:t>
      </w:r>
      <w:r w:rsidR="00D22FAC">
        <w:rPr>
          <w:rFonts w:ascii="Times New Roman" w:hAnsi="Times New Roman" w:cs="Times New Roman"/>
          <w:i/>
        </w:rPr>
        <w:t>Is Administrative Law Unlawful?</w:t>
      </w:r>
      <w:r w:rsidR="00D22FAC">
        <w:t xml:space="preserve"> </w:t>
      </w:r>
      <w:r>
        <w:rPr>
          <w:rFonts w:ascii="Times New Roman" w:hAnsi="Times New Roman" w:cs="Times New Roman"/>
        </w:rPr>
        <w:t xml:space="preserve">But by and large, rights-talk </w:t>
      </w:r>
      <w:r w:rsidR="00D22FAC">
        <w:rPr>
          <w:rFonts w:ascii="Times New Roman" w:hAnsi="Times New Roman" w:cs="Times New Roman"/>
        </w:rPr>
        <w:t>now</w:t>
      </w:r>
      <w:r w:rsidR="00FF134F">
        <w:rPr>
          <w:rFonts w:ascii="Times New Roman" w:hAnsi="Times New Roman" w:cs="Times New Roman"/>
        </w:rPr>
        <w:t xml:space="preserve"> </w:t>
      </w:r>
      <w:r>
        <w:rPr>
          <w:rFonts w:ascii="Times New Roman" w:hAnsi="Times New Roman" w:cs="Times New Roman"/>
        </w:rPr>
        <w:t>predominate</w:t>
      </w:r>
      <w:r w:rsidR="00D22FAC">
        <w:rPr>
          <w:rFonts w:ascii="Times New Roman" w:hAnsi="Times New Roman" w:cs="Times New Roman"/>
        </w:rPr>
        <w:t>s</w:t>
      </w:r>
      <w:r>
        <w:rPr>
          <w:rFonts w:ascii="Times New Roman" w:hAnsi="Times New Roman" w:cs="Times New Roman"/>
        </w:rPr>
        <w:t xml:space="preserve">. </w:t>
      </w:r>
      <w:r w:rsidR="00873109">
        <w:rPr>
          <w:rFonts w:ascii="Times New Roman" w:hAnsi="Times New Roman" w:cs="Times New Roman"/>
        </w:rPr>
        <w:t xml:space="preserve">As British historian and politician Daniel </w:t>
      </w:r>
      <w:proofErr w:type="spellStart"/>
      <w:r w:rsidR="00873109">
        <w:rPr>
          <w:rFonts w:ascii="Times New Roman" w:hAnsi="Times New Roman" w:cs="Times New Roman"/>
        </w:rPr>
        <w:t>Hannan</w:t>
      </w:r>
      <w:proofErr w:type="spellEnd"/>
      <w:r w:rsidR="00873109">
        <w:rPr>
          <w:rFonts w:ascii="Times New Roman" w:hAnsi="Times New Roman" w:cs="Times New Roman"/>
        </w:rPr>
        <w:t xml:space="preserve"> put it, from Magna Carta flowed “all the rights and freedoms that we now take for granted: uncensored newspapers, security of property, equality before the law, habeas corpus, regular elections, sanctity of contract, jury trials.” Or, at the most ridiculous extreme, there is Salisbury Cathedral, which holds the finest surviving copy of Magna Carta, </w:t>
      </w:r>
      <w:r>
        <w:rPr>
          <w:rFonts w:ascii="Times New Roman" w:hAnsi="Times New Roman" w:cs="Times New Roman"/>
        </w:rPr>
        <w:t>and which</w:t>
      </w:r>
      <w:r w:rsidR="00873109">
        <w:rPr>
          <w:rFonts w:ascii="Times New Roman" w:hAnsi="Times New Roman" w:cs="Times New Roman"/>
        </w:rPr>
        <w:t xml:space="preserve"> produced a leaflet </w:t>
      </w:r>
      <w:r>
        <w:rPr>
          <w:rFonts w:ascii="Times New Roman" w:hAnsi="Times New Roman" w:cs="Times New Roman"/>
        </w:rPr>
        <w:t>for the 800</w:t>
      </w:r>
      <w:r w:rsidRPr="000A4A42">
        <w:rPr>
          <w:rFonts w:ascii="Times New Roman" w:hAnsi="Times New Roman" w:cs="Times New Roman"/>
          <w:vertAlign w:val="superscript"/>
        </w:rPr>
        <w:t>th</w:t>
      </w:r>
      <w:r>
        <w:rPr>
          <w:rFonts w:ascii="Times New Roman" w:hAnsi="Times New Roman" w:cs="Times New Roman"/>
        </w:rPr>
        <w:t xml:space="preserve"> anniversary proclaiming</w:t>
      </w:r>
      <w:r w:rsidR="00873109">
        <w:rPr>
          <w:rFonts w:ascii="Times New Roman" w:hAnsi="Times New Roman" w:cs="Times New Roman"/>
        </w:rPr>
        <w:t xml:space="preserve"> that the Charter is a statement of “social justice.” Whatever Magna Carta is</w:t>
      </w:r>
      <w:r>
        <w:rPr>
          <w:rFonts w:ascii="Times New Roman" w:hAnsi="Times New Roman" w:cs="Times New Roman"/>
        </w:rPr>
        <w:t xml:space="preserve"> about</w:t>
      </w:r>
      <w:r w:rsidR="00873109">
        <w:rPr>
          <w:rFonts w:ascii="Times New Roman" w:hAnsi="Times New Roman" w:cs="Times New Roman"/>
        </w:rPr>
        <w:t xml:space="preserve">, it is not </w:t>
      </w:r>
      <w:r>
        <w:rPr>
          <w:rFonts w:ascii="Times New Roman" w:hAnsi="Times New Roman" w:cs="Times New Roman"/>
        </w:rPr>
        <w:t>about social justice</w:t>
      </w:r>
      <w:r w:rsidR="00873109">
        <w:rPr>
          <w:rFonts w:ascii="Times New Roman" w:hAnsi="Times New Roman" w:cs="Times New Roman"/>
        </w:rPr>
        <w:t>.</w:t>
      </w:r>
    </w:p>
    <w:p w:rsidR="002A2284" w:rsidRPr="002A2284" w:rsidRDefault="000A4A42" w:rsidP="006340E6">
      <w:pPr>
        <w:spacing w:line="480" w:lineRule="auto"/>
        <w:rPr>
          <w:rFonts w:ascii="Times New Roman" w:hAnsi="Times New Roman" w:cs="Times New Roman"/>
        </w:rPr>
      </w:pPr>
      <w:r>
        <w:rPr>
          <w:rFonts w:ascii="Times New Roman" w:hAnsi="Times New Roman" w:cs="Times New Roman"/>
        </w:rPr>
        <w:lastRenderedPageBreak/>
        <w:tab/>
        <w:t xml:space="preserve">In short, we are now a rights-minded people, and so we understand Magna Carta in the framework of </w:t>
      </w:r>
      <w:r w:rsidR="008A37DA">
        <w:rPr>
          <w:rFonts w:ascii="Times New Roman" w:hAnsi="Times New Roman" w:cs="Times New Roman"/>
        </w:rPr>
        <w:t>our time – the framework of rights</w:t>
      </w:r>
      <w:r>
        <w:rPr>
          <w:rFonts w:ascii="Times New Roman" w:hAnsi="Times New Roman" w:cs="Times New Roman"/>
        </w:rPr>
        <w:t xml:space="preserve">. </w:t>
      </w:r>
      <w:r w:rsidR="002A2284">
        <w:rPr>
          <w:rFonts w:ascii="Times New Roman" w:hAnsi="Times New Roman" w:cs="Times New Roman"/>
        </w:rPr>
        <w:t xml:space="preserve">And that is the problem. It is partly a problem, of course, because the concept of universal, substantive rights has nothing to do with the circumstances that produced the Charter. As Alexander Hamilton noted in </w:t>
      </w:r>
      <w:r w:rsidR="002A2284">
        <w:rPr>
          <w:rFonts w:ascii="Times New Roman" w:hAnsi="Times New Roman" w:cs="Times New Roman"/>
          <w:i/>
        </w:rPr>
        <w:t>Federalist 84</w:t>
      </w:r>
      <w:r w:rsidR="002A2284">
        <w:rPr>
          <w:rFonts w:ascii="Times New Roman" w:hAnsi="Times New Roman" w:cs="Times New Roman"/>
        </w:rPr>
        <w:t xml:space="preserve">, Magna Carta and other bills of right were “stipulations between kings and their subjects, abridgements of prerogative in favor of privilege, reservations of rights not surrendered to the prince. . . . </w:t>
      </w:r>
      <w:proofErr w:type="gramStart"/>
      <w:r w:rsidR="002A2284">
        <w:rPr>
          <w:rFonts w:ascii="Times New Roman" w:hAnsi="Times New Roman" w:cs="Times New Roman"/>
        </w:rPr>
        <w:t>they</w:t>
      </w:r>
      <w:proofErr w:type="gramEnd"/>
      <w:r w:rsidR="002A2284">
        <w:rPr>
          <w:rFonts w:ascii="Times New Roman" w:hAnsi="Times New Roman" w:cs="Times New Roman"/>
        </w:rPr>
        <w:t xml:space="preserve"> have no application to constitutions professedly founded upon the power of the people.”</w:t>
      </w:r>
      <w:r w:rsidR="00FF134F">
        <w:rPr>
          <w:rFonts w:ascii="Times New Roman" w:hAnsi="Times New Roman" w:cs="Times New Roman"/>
        </w:rPr>
        <w:t xml:space="preserve"> In other words, far from being based on the notion that rights are inherent in </w:t>
      </w:r>
      <w:r w:rsidR="00F16F52">
        <w:rPr>
          <w:rFonts w:ascii="Times New Roman" w:hAnsi="Times New Roman" w:cs="Times New Roman"/>
        </w:rPr>
        <w:t>the people</w:t>
      </w:r>
      <w:r w:rsidR="00FF134F">
        <w:rPr>
          <w:rFonts w:ascii="Times New Roman" w:hAnsi="Times New Roman" w:cs="Times New Roman"/>
        </w:rPr>
        <w:t xml:space="preserve">, and that governments derive their just powers from popular consent, </w:t>
      </w:r>
      <w:r w:rsidR="009D42D6">
        <w:rPr>
          <w:rFonts w:ascii="Times New Roman" w:hAnsi="Times New Roman" w:cs="Times New Roman"/>
        </w:rPr>
        <w:t xml:space="preserve">Magna Carta is, in form, a grant of liberties </w:t>
      </w:r>
      <w:r w:rsidR="009E6CA8">
        <w:rPr>
          <w:rFonts w:ascii="Times New Roman" w:hAnsi="Times New Roman" w:cs="Times New Roman"/>
        </w:rPr>
        <w:t xml:space="preserve">(or a confirmation of liberties) </w:t>
      </w:r>
      <w:r w:rsidR="009D42D6">
        <w:rPr>
          <w:rFonts w:ascii="Times New Roman" w:hAnsi="Times New Roman" w:cs="Times New Roman"/>
        </w:rPr>
        <w:t xml:space="preserve">from the government </w:t>
      </w:r>
      <w:r w:rsidR="00D22FAC">
        <w:rPr>
          <w:rFonts w:ascii="Times New Roman" w:hAnsi="Times New Roman" w:cs="Times New Roman"/>
        </w:rPr>
        <w:t xml:space="preserve">(or the monarch) </w:t>
      </w:r>
      <w:r w:rsidR="009D42D6">
        <w:rPr>
          <w:rFonts w:ascii="Times New Roman" w:hAnsi="Times New Roman" w:cs="Times New Roman"/>
        </w:rPr>
        <w:t xml:space="preserve">to selected groups of people. </w:t>
      </w:r>
      <w:r w:rsidR="009E6CA8">
        <w:rPr>
          <w:rFonts w:ascii="Times New Roman" w:hAnsi="Times New Roman" w:cs="Times New Roman"/>
        </w:rPr>
        <w:t>The Charter</w:t>
      </w:r>
      <w:r w:rsidR="009D42D6">
        <w:rPr>
          <w:rFonts w:ascii="Times New Roman" w:hAnsi="Times New Roman" w:cs="Times New Roman"/>
        </w:rPr>
        <w:t xml:space="preserve"> is not merely </w:t>
      </w:r>
      <w:r w:rsidR="00F16F52">
        <w:rPr>
          <w:rFonts w:ascii="Times New Roman" w:hAnsi="Times New Roman" w:cs="Times New Roman"/>
        </w:rPr>
        <w:t xml:space="preserve">not a defense </w:t>
      </w:r>
      <w:r w:rsidR="009E6CA8">
        <w:rPr>
          <w:rFonts w:ascii="Times New Roman" w:hAnsi="Times New Roman" w:cs="Times New Roman"/>
        </w:rPr>
        <w:t xml:space="preserve">of rights </w:t>
      </w:r>
      <w:r w:rsidR="00991753">
        <w:rPr>
          <w:rFonts w:ascii="Times New Roman" w:hAnsi="Times New Roman" w:cs="Times New Roman"/>
        </w:rPr>
        <w:t>in the universal sense that</w:t>
      </w:r>
      <w:r w:rsidR="009E6CA8">
        <w:rPr>
          <w:rFonts w:ascii="Times New Roman" w:hAnsi="Times New Roman" w:cs="Times New Roman"/>
        </w:rPr>
        <w:t xml:space="preserve"> we understand them; it is a product of an entirely different world view</w:t>
      </w:r>
      <w:r w:rsidR="007E4077">
        <w:rPr>
          <w:rFonts w:ascii="Times New Roman" w:hAnsi="Times New Roman" w:cs="Times New Roman"/>
        </w:rPr>
        <w:t xml:space="preserve">, one in which ‘rights’ </w:t>
      </w:r>
      <w:r w:rsidR="00991753">
        <w:rPr>
          <w:rFonts w:ascii="Times New Roman" w:hAnsi="Times New Roman" w:cs="Times New Roman"/>
        </w:rPr>
        <w:t xml:space="preserve">issue from, or </w:t>
      </w:r>
      <w:r w:rsidR="00EC5AAB">
        <w:rPr>
          <w:rFonts w:ascii="Times New Roman" w:hAnsi="Times New Roman" w:cs="Times New Roman"/>
        </w:rPr>
        <w:t xml:space="preserve">at least </w:t>
      </w:r>
      <w:r w:rsidR="00991753">
        <w:rPr>
          <w:rFonts w:ascii="Times New Roman" w:hAnsi="Times New Roman" w:cs="Times New Roman"/>
        </w:rPr>
        <w:t>are secured by,</w:t>
      </w:r>
      <w:r w:rsidR="007E4077">
        <w:rPr>
          <w:rFonts w:ascii="Times New Roman" w:hAnsi="Times New Roman" w:cs="Times New Roman"/>
        </w:rPr>
        <w:t xml:space="preserve"> personal assurances from the monarch</w:t>
      </w:r>
      <w:r w:rsidR="009E6CA8">
        <w:rPr>
          <w:rFonts w:ascii="Times New Roman" w:hAnsi="Times New Roman" w:cs="Times New Roman"/>
        </w:rPr>
        <w:t>.</w:t>
      </w:r>
      <w:r w:rsidR="00FF134F">
        <w:rPr>
          <w:rFonts w:ascii="Times New Roman" w:hAnsi="Times New Roman" w:cs="Times New Roman"/>
        </w:rPr>
        <w:t xml:space="preserve"> </w:t>
      </w:r>
      <w:r w:rsidR="00913F71">
        <w:rPr>
          <w:rFonts w:ascii="Times New Roman" w:hAnsi="Times New Roman" w:cs="Times New Roman"/>
        </w:rPr>
        <w:t xml:space="preserve">This is an approach that has more in common with the civil law tradition than with the common law one to which Magna Carta supposedly belongs. </w:t>
      </w:r>
      <w:r w:rsidR="002A2284">
        <w:rPr>
          <w:rFonts w:ascii="Times New Roman" w:hAnsi="Times New Roman" w:cs="Times New Roman"/>
        </w:rPr>
        <w:t xml:space="preserve">But </w:t>
      </w:r>
      <w:r w:rsidR="009E6CA8">
        <w:rPr>
          <w:rFonts w:ascii="Times New Roman" w:hAnsi="Times New Roman" w:cs="Times New Roman"/>
        </w:rPr>
        <w:t>the rights-talk</w:t>
      </w:r>
      <w:r w:rsidR="002A2284">
        <w:rPr>
          <w:rFonts w:ascii="Times New Roman" w:hAnsi="Times New Roman" w:cs="Times New Roman"/>
        </w:rPr>
        <w:t xml:space="preserve"> </w:t>
      </w:r>
      <w:r w:rsidR="009E6CA8">
        <w:rPr>
          <w:rFonts w:ascii="Times New Roman" w:hAnsi="Times New Roman" w:cs="Times New Roman"/>
        </w:rPr>
        <w:t xml:space="preserve">surrounding our commemoration of Magna Carta </w:t>
      </w:r>
      <w:r w:rsidR="002A2284">
        <w:rPr>
          <w:rFonts w:ascii="Times New Roman" w:hAnsi="Times New Roman" w:cs="Times New Roman"/>
        </w:rPr>
        <w:t xml:space="preserve">is also a problem because the danger to liberty in the West today is not arbitrary power of the sort exercised by King John, who </w:t>
      </w:r>
      <w:r w:rsidR="002A2284" w:rsidRPr="002A2284">
        <w:rPr>
          <w:rFonts w:ascii="Times New Roman" w:hAnsi="Times New Roman" w:cs="Times New Roman"/>
        </w:rPr>
        <w:t>offered no real theory</w:t>
      </w:r>
      <w:r w:rsidR="001B7AA2">
        <w:rPr>
          <w:rFonts w:ascii="Times New Roman" w:hAnsi="Times New Roman" w:cs="Times New Roman"/>
        </w:rPr>
        <w:t xml:space="preserve"> for his depredations</w:t>
      </w:r>
      <w:r w:rsidR="002A2284" w:rsidRPr="002A2284">
        <w:rPr>
          <w:rFonts w:ascii="Times New Roman" w:hAnsi="Times New Roman" w:cs="Times New Roman"/>
        </w:rPr>
        <w:t xml:space="preserve"> except that he needed the money. The danger to liberty today, ironically, comes from arbitrary power backed up by</w:t>
      </w:r>
      <w:r w:rsidR="001B7AA2">
        <w:rPr>
          <w:rFonts w:ascii="Times New Roman" w:hAnsi="Times New Roman" w:cs="Times New Roman"/>
        </w:rPr>
        <w:t xml:space="preserve"> </w:t>
      </w:r>
      <w:r w:rsidR="00A278EE">
        <w:rPr>
          <w:rFonts w:ascii="Times New Roman" w:hAnsi="Times New Roman" w:cs="Times New Roman"/>
        </w:rPr>
        <w:t>pseudo-</w:t>
      </w:r>
      <w:r w:rsidR="001B7AA2">
        <w:rPr>
          <w:rFonts w:ascii="Times New Roman" w:hAnsi="Times New Roman" w:cs="Times New Roman"/>
        </w:rPr>
        <w:t>sophisticated arguments based on</w:t>
      </w:r>
      <w:r w:rsidR="00A278EE">
        <w:rPr>
          <w:rFonts w:ascii="Times New Roman" w:hAnsi="Times New Roman" w:cs="Times New Roman"/>
        </w:rPr>
        <w:t xml:space="preserve"> rights-talk, of the kind that have recently been so prominent on American university campuses.</w:t>
      </w:r>
    </w:p>
    <w:p w:rsidR="0052466A" w:rsidRDefault="002A2284" w:rsidP="002A2284">
      <w:pPr>
        <w:spacing w:line="480" w:lineRule="auto"/>
        <w:ind w:firstLine="720"/>
        <w:rPr>
          <w:rFonts w:ascii="Times New Roman" w:hAnsi="Times New Roman" w:cs="Times New Roman"/>
          <w:color w:val="000000"/>
        </w:rPr>
      </w:pPr>
      <w:r w:rsidRPr="002A2284">
        <w:rPr>
          <w:rFonts w:ascii="Times New Roman" w:hAnsi="Times New Roman" w:cs="Times New Roman"/>
        </w:rPr>
        <w:t xml:space="preserve">Against my </w:t>
      </w:r>
      <w:r w:rsidRPr="002A2284">
        <w:rPr>
          <w:rFonts w:ascii="Times New Roman" w:hAnsi="Times New Roman" w:cs="Times New Roman"/>
          <w:color w:val="000000"/>
        </w:rPr>
        <w:t>right to free expression stands your supposed right not to be offended. My right to property must pay for your right to free health care. My right not to be discriminated against must give way to your right to be discriminated in favor of. Every demand for political power is now framed as an earnest plea for a new right, a morally bullying appeal too often backed up by a modern state with a reach beyond King John’s wildest fantasies.</w:t>
      </w:r>
      <w:r>
        <w:rPr>
          <w:rFonts w:ascii="Times New Roman" w:hAnsi="Times New Roman" w:cs="Times New Roman"/>
          <w:color w:val="000000"/>
        </w:rPr>
        <w:t xml:space="preserve"> And </w:t>
      </w:r>
      <w:r w:rsidR="00D22FAC">
        <w:rPr>
          <w:rFonts w:ascii="Times New Roman" w:hAnsi="Times New Roman" w:cs="Times New Roman"/>
          <w:color w:val="000000"/>
        </w:rPr>
        <w:t xml:space="preserve">so I fear that </w:t>
      </w:r>
      <w:r>
        <w:rPr>
          <w:rFonts w:ascii="Times New Roman" w:hAnsi="Times New Roman" w:cs="Times New Roman"/>
          <w:color w:val="000000"/>
        </w:rPr>
        <w:t xml:space="preserve">the celebration of Magna Carta as the origin of our modern rights does not contribute to limits on arbitrary power – instead, it fosters the idea that the Charter was the start of an unfurling of rights that must be continued and elaborated forever, and be backed up by the power of the state. We are very concerned with rights. We are not at all concerned with </w:t>
      </w:r>
      <w:r w:rsidR="002A19E9">
        <w:rPr>
          <w:rFonts w:ascii="Times New Roman" w:hAnsi="Times New Roman" w:cs="Times New Roman"/>
          <w:color w:val="000000"/>
        </w:rPr>
        <w:lastRenderedPageBreak/>
        <w:t>what in 1215, and today, was a far more serious problem: we do not worry</w:t>
      </w:r>
      <w:r w:rsidR="00D22FAC">
        <w:rPr>
          <w:rFonts w:ascii="Times New Roman" w:hAnsi="Times New Roman" w:cs="Times New Roman"/>
          <w:color w:val="000000"/>
        </w:rPr>
        <w:t xml:space="preserve"> about who guards the guardians of our rights.</w:t>
      </w:r>
    </w:p>
    <w:p w:rsidR="001E38C6" w:rsidRDefault="009E6CA8" w:rsidP="001E38C6">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the West, most </w:t>
      </w:r>
      <w:r w:rsidR="00A278EE">
        <w:rPr>
          <w:rFonts w:ascii="Times New Roman" w:hAnsi="Times New Roman" w:cs="Times New Roman"/>
          <w:color w:val="000000"/>
        </w:rPr>
        <w:t xml:space="preserve">thinking about rights can be separated into two schools – the school of Locke and the school of Rousseau. </w:t>
      </w:r>
      <w:r w:rsidR="00D837A4">
        <w:rPr>
          <w:rFonts w:ascii="Times New Roman" w:hAnsi="Times New Roman" w:cs="Times New Roman"/>
          <w:color w:val="000000"/>
        </w:rPr>
        <w:t xml:space="preserve">The </w:t>
      </w:r>
      <w:proofErr w:type="spellStart"/>
      <w:r w:rsidR="008A37DA">
        <w:rPr>
          <w:rFonts w:ascii="Times New Roman" w:hAnsi="Times New Roman" w:cs="Times New Roman"/>
          <w:color w:val="000000"/>
        </w:rPr>
        <w:t>Lockeans</w:t>
      </w:r>
      <w:proofErr w:type="spellEnd"/>
      <w:r w:rsidR="00D837A4">
        <w:rPr>
          <w:rFonts w:ascii="Times New Roman" w:hAnsi="Times New Roman" w:cs="Times New Roman"/>
          <w:color w:val="000000"/>
        </w:rPr>
        <w:t xml:space="preserve"> treat rights as inherent in man, </w:t>
      </w:r>
      <w:bookmarkStart w:id="0" w:name="_GoBack"/>
      <w:bookmarkEnd w:id="0"/>
      <w:r w:rsidR="00D837A4">
        <w:rPr>
          <w:rFonts w:ascii="Times New Roman" w:hAnsi="Times New Roman" w:cs="Times New Roman"/>
          <w:color w:val="000000"/>
        </w:rPr>
        <w:t xml:space="preserve">and as protected within a political state established by voluntary consent. Followers of Rousseau, on the other hand, take a much kinder view of the state of nature, and a much harsher one of the political state. To say that our commemorations of Magna Carta have centered on the ways that rights are protected and elaborated within a political state is merely to say that most of us are now instinctive </w:t>
      </w:r>
      <w:proofErr w:type="spellStart"/>
      <w:r w:rsidR="008A37DA">
        <w:rPr>
          <w:rFonts w:ascii="Times New Roman" w:hAnsi="Times New Roman" w:cs="Times New Roman"/>
          <w:color w:val="000000"/>
        </w:rPr>
        <w:t>Lockeans</w:t>
      </w:r>
      <w:proofErr w:type="spellEnd"/>
      <w:r w:rsidR="00D837A4">
        <w:rPr>
          <w:rFonts w:ascii="Times New Roman" w:hAnsi="Times New Roman" w:cs="Times New Roman"/>
          <w:color w:val="000000"/>
        </w:rPr>
        <w:t xml:space="preserve">. When we talk about rights, we end up talking about the state – and when we talk about the state, we end up explaining that its role is </w:t>
      </w:r>
      <w:r w:rsidR="001E38C6">
        <w:rPr>
          <w:rFonts w:ascii="Times New Roman" w:hAnsi="Times New Roman" w:cs="Times New Roman"/>
          <w:color w:val="000000"/>
        </w:rPr>
        <w:t xml:space="preserve">to protect and advance our rights. </w:t>
      </w:r>
      <w:r w:rsidR="008E0AAE">
        <w:rPr>
          <w:rFonts w:ascii="Times New Roman" w:hAnsi="Times New Roman" w:cs="Times New Roman"/>
          <w:color w:val="000000"/>
        </w:rPr>
        <w:t>So</w:t>
      </w:r>
      <w:r w:rsidR="0027297B">
        <w:rPr>
          <w:rFonts w:ascii="Times New Roman" w:hAnsi="Times New Roman" w:cs="Times New Roman"/>
          <w:color w:val="000000"/>
        </w:rPr>
        <w:t xml:space="preserve"> paradoxically, r</w:t>
      </w:r>
      <w:r w:rsidR="001E38C6">
        <w:rPr>
          <w:rFonts w:ascii="Times New Roman" w:hAnsi="Times New Roman" w:cs="Times New Roman"/>
          <w:color w:val="000000"/>
        </w:rPr>
        <w:t xml:space="preserve">ights are both protected by the state, and the means of providing us protection from the state. The gap between those two conceptions is what rights-talk exploits to turn rights into a form of social, cultural, and political bullying, and to defend the creation of an administrative state </w:t>
      </w:r>
      <w:r w:rsidR="007E4077">
        <w:rPr>
          <w:rFonts w:ascii="Times New Roman" w:hAnsi="Times New Roman" w:cs="Times New Roman"/>
          <w:color w:val="000000"/>
        </w:rPr>
        <w:t xml:space="preserve">that rests on the same form of arbitrary power as that employed by King John in his depredations eight hundred years ago. The problem here, in short, is that – at least in the </w:t>
      </w:r>
      <w:r w:rsidR="003153BB">
        <w:rPr>
          <w:rFonts w:ascii="Times New Roman" w:hAnsi="Times New Roman" w:cs="Times New Roman"/>
          <w:color w:val="000000"/>
        </w:rPr>
        <w:t>United States</w:t>
      </w:r>
      <w:r w:rsidR="007E4077">
        <w:rPr>
          <w:rFonts w:ascii="Times New Roman" w:hAnsi="Times New Roman" w:cs="Times New Roman"/>
          <w:color w:val="000000"/>
        </w:rPr>
        <w:t xml:space="preserve"> – the administrative state proceeds through administrative courts which rest on a denial of due process and of procedural rights. </w:t>
      </w:r>
      <w:r w:rsidR="005E3BC4">
        <w:rPr>
          <w:rFonts w:ascii="Times New Roman" w:hAnsi="Times New Roman" w:cs="Times New Roman"/>
          <w:color w:val="000000"/>
        </w:rPr>
        <w:t xml:space="preserve">The fact that this was exactly the problem that Magna Carta purported to solve – or at least to address – is yet another example of the ironic ways that our focus on rights ends up subverting </w:t>
      </w:r>
      <w:r w:rsidR="00593E52">
        <w:rPr>
          <w:rFonts w:ascii="Times New Roman" w:hAnsi="Times New Roman" w:cs="Times New Roman"/>
          <w:color w:val="000000"/>
        </w:rPr>
        <w:t>much</w:t>
      </w:r>
      <w:r w:rsidR="005E3BC4">
        <w:rPr>
          <w:rFonts w:ascii="Times New Roman" w:hAnsi="Times New Roman" w:cs="Times New Roman"/>
          <w:color w:val="000000"/>
        </w:rPr>
        <w:t xml:space="preserve"> of what we claim to value about the Charter.</w:t>
      </w:r>
    </w:p>
    <w:p w:rsidR="005E3BC4" w:rsidRDefault="005E3BC4" w:rsidP="005E3BC4">
      <w:pPr>
        <w:spacing w:line="480" w:lineRule="auto"/>
        <w:rPr>
          <w:rFonts w:ascii="Times New Roman" w:hAnsi="Times New Roman" w:cs="Times New Roman"/>
          <w:color w:val="000000"/>
        </w:rPr>
      </w:pPr>
      <w:r>
        <w:rPr>
          <w:rFonts w:ascii="Times New Roman" w:hAnsi="Times New Roman" w:cs="Times New Roman"/>
          <w:color w:val="000000"/>
        </w:rPr>
        <w:tab/>
        <w:t xml:space="preserve">So I found it hard to fully enter into the spirit of our </w:t>
      </w:r>
      <w:r w:rsidRPr="00F103B0">
        <w:rPr>
          <w:rFonts w:ascii="Times New Roman" w:hAnsi="Times New Roman" w:cs="Times New Roman"/>
          <w:color w:val="000000"/>
        </w:rPr>
        <w:t xml:space="preserve">commemorations over the past year. </w:t>
      </w:r>
      <w:r w:rsidR="003153BB">
        <w:rPr>
          <w:rFonts w:ascii="Times New Roman" w:hAnsi="Times New Roman" w:cs="Times New Roman"/>
          <w:color w:val="000000"/>
        </w:rPr>
        <w:t xml:space="preserve">No </w:t>
      </w:r>
      <w:r w:rsidR="00F103B0" w:rsidRPr="00F103B0">
        <w:rPr>
          <w:rFonts w:ascii="Times New Roman" w:hAnsi="Times New Roman" w:cs="Times New Roman"/>
          <w:color w:val="000000"/>
        </w:rPr>
        <w:t xml:space="preserve">matter how true it is historically that Magna Carta is the origin of our rights, </w:t>
      </w:r>
      <w:r w:rsidR="00BD5382">
        <w:rPr>
          <w:rFonts w:ascii="Times New Roman" w:hAnsi="Times New Roman" w:cs="Times New Roman"/>
          <w:color w:val="000000"/>
        </w:rPr>
        <w:t xml:space="preserve">I fear that </w:t>
      </w:r>
      <w:r w:rsidR="00F103B0" w:rsidRPr="00F103B0">
        <w:rPr>
          <w:rFonts w:ascii="Times New Roman" w:hAnsi="Times New Roman" w:cs="Times New Roman"/>
          <w:color w:val="000000"/>
        </w:rPr>
        <w:t xml:space="preserve">our understanding of rights is now so degraded that, in practice, nattering on about rights feeds the disease. But </w:t>
      </w:r>
      <w:r w:rsidR="00991753" w:rsidRPr="00F103B0">
        <w:rPr>
          <w:rFonts w:ascii="Times New Roman" w:hAnsi="Times New Roman" w:cs="Times New Roman"/>
          <w:color w:val="000000"/>
        </w:rPr>
        <w:t xml:space="preserve">on the other hand, </w:t>
      </w:r>
      <w:r w:rsidRPr="00F103B0">
        <w:rPr>
          <w:rFonts w:ascii="Times New Roman" w:hAnsi="Times New Roman" w:cs="Times New Roman"/>
          <w:color w:val="000000"/>
        </w:rPr>
        <w:t>distorted</w:t>
      </w:r>
      <w:r w:rsidR="00913F71" w:rsidRPr="00F103B0">
        <w:rPr>
          <w:rFonts w:ascii="Times New Roman" w:hAnsi="Times New Roman" w:cs="Times New Roman"/>
          <w:color w:val="000000"/>
        </w:rPr>
        <w:t xml:space="preserve"> or even invented</w:t>
      </w:r>
      <w:r w:rsidRPr="00F103B0">
        <w:rPr>
          <w:rFonts w:ascii="Times New Roman" w:hAnsi="Times New Roman" w:cs="Times New Roman"/>
          <w:color w:val="000000"/>
        </w:rPr>
        <w:t xml:space="preserve"> memory is better than no memory</w:t>
      </w:r>
      <w:r>
        <w:rPr>
          <w:rFonts w:ascii="Times New Roman" w:hAnsi="Times New Roman" w:cs="Times New Roman"/>
          <w:color w:val="000000"/>
        </w:rPr>
        <w:t xml:space="preserve"> at all</w:t>
      </w:r>
      <w:r w:rsidR="001B6C40">
        <w:rPr>
          <w:rFonts w:ascii="Times New Roman" w:hAnsi="Times New Roman" w:cs="Times New Roman"/>
          <w:color w:val="000000"/>
        </w:rPr>
        <w:t>. A</w:t>
      </w:r>
      <w:r>
        <w:rPr>
          <w:rFonts w:ascii="Times New Roman" w:hAnsi="Times New Roman" w:cs="Times New Roman"/>
          <w:color w:val="000000"/>
        </w:rPr>
        <w:t xml:space="preserve">s Winston Smith emphasizes in George Orwell’s </w:t>
      </w:r>
      <w:r>
        <w:rPr>
          <w:rFonts w:ascii="Times New Roman" w:hAnsi="Times New Roman" w:cs="Times New Roman"/>
          <w:i/>
          <w:color w:val="000000"/>
        </w:rPr>
        <w:t>1984</w:t>
      </w:r>
      <w:r>
        <w:rPr>
          <w:rFonts w:ascii="Times New Roman" w:hAnsi="Times New Roman" w:cs="Times New Roman"/>
          <w:color w:val="000000"/>
        </w:rPr>
        <w:t>, memory is a great defense of liberty</w:t>
      </w:r>
      <w:r w:rsidR="00F8119C">
        <w:rPr>
          <w:rFonts w:ascii="Times New Roman" w:hAnsi="Times New Roman" w:cs="Times New Roman"/>
          <w:color w:val="000000"/>
        </w:rPr>
        <w:t xml:space="preserve">, because it recalls </w:t>
      </w:r>
      <w:proofErr w:type="gramStart"/>
      <w:r w:rsidR="00F8119C">
        <w:rPr>
          <w:rFonts w:ascii="Times New Roman" w:hAnsi="Times New Roman" w:cs="Times New Roman"/>
          <w:color w:val="000000"/>
        </w:rPr>
        <w:t>to mind</w:t>
      </w:r>
      <w:proofErr w:type="gramEnd"/>
      <w:r w:rsidR="00F8119C">
        <w:rPr>
          <w:rFonts w:ascii="Times New Roman" w:hAnsi="Times New Roman" w:cs="Times New Roman"/>
          <w:color w:val="000000"/>
        </w:rPr>
        <w:t xml:space="preserve"> institutions and social arrangements that predate the loss of liberty. Not for nothing do tyrants place so much emphasis on controlling the past by controlling the content of what is written and taught as history. Not for nothing is Magna Carta framed as a confirmation – as Article 41 puts it – of “ancient and right customs,” not as a </w:t>
      </w:r>
      <w:r w:rsidR="00F8119C">
        <w:rPr>
          <w:rFonts w:ascii="Times New Roman" w:hAnsi="Times New Roman" w:cs="Times New Roman"/>
          <w:color w:val="000000"/>
        </w:rPr>
        <w:lastRenderedPageBreak/>
        <w:t xml:space="preserve">statement of anything new. And not for nothing </w:t>
      </w:r>
      <w:r w:rsidR="00392EA0">
        <w:rPr>
          <w:rFonts w:ascii="Times New Roman" w:hAnsi="Times New Roman" w:cs="Times New Roman"/>
          <w:color w:val="000000"/>
        </w:rPr>
        <w:t xml:space="preserve">was Magna Carta so long understood, and politically deployed, as an effort to revive and defend the “ancient constitution” and its Anglo-Saxon liberties. As J.C. Holt has emphasized, there was </w:t>
      </w:r>
      <w:r w:rsidR="0027297B">
        <w:rPr>
          <w:rFonts w:ascii="Times New Roman" w:hAnsi="Times New Roman" w:cs="Times New Roman"/>
          <w:color w:val="000000"/>
        </w:rPr>
        <w:t xml:space="preserve">in fact </w:t>
      </w:r>
      <w:r w:rsidR="00392EA0">
        <w:rPr>
          <w:rFonts w:ascii="Times New Roman" w:hAnsi="Times New Roman" w:cs="Times New Roman"/>
          <w:color w:val="000000"/>
        </w:rPr>
        <w:t>no “ancient constitution” in th</w:t>
      </w:r>
      <w:r w:rsidR="00991753">
        <w:rPr>
          <w:rFonts w:ascii="Times New Roman" w:hAnsi="Times New Roman" w:cs="Times New Roman"/>
          <w:color w:val="000000"/>
        </w:rPr>
        <w:t>e sense we understand that term</w:t>
      </w:r>
      <w:r w:rsidR="00F566C5">
        <w:rPr>
          <w:rFonts w:ascii="Times New Roman" w:hAnsi="Times New Roman" w:cs="Times New Roman"/>
          <w:color w:val="000000"/>
        </w:rPr>
        <w:t xml:space="preserve">. But as Holt also points out, the claim to antiquity was a political one, made precisely because this was the best way the </w:t>
      </w:r>
      <w:r w:rsidR="001B6C40">
        <w:rPr>
          <w:rFonts w:ascii="Times New Roman" w:hAnsi="Times New Roman" w:cs="Times New Roman"/>
          <w:color w:val="000000"/>
        </w:rPr>
        <w:t>b</w:t>
      </w:r>
      <w:r w:rsidR="00F566C5">
        <w:rPr>
          <w:rFonts w:ascii="Times New Roman" w:hAnsi="Times New Roman" w:cs="Times New Roman"/>
          <w:color w:val="000000"/>
        </w:rPr>
        <w:t xml:space="preserve">arons could come up with to reconcile the issuance of a Charter (which </w:t>
      </w:r>
      <w:r w:rsidR="001B6C40">
        <w:rPr>
          <w:rFonts w:ascii="Times New Roman" w:hAnsi="Times New Roman" w:cs="Times New Roman"/>
          <w:color w:val="000000"/>
        </w:rPr>
        <w:t>by definition had to be</w:t>
      </w:r>
      <w:r w:rsidR="00F566C5">
        <w:rPr>
          <w:rFonts w:ascii="Times New Roman" w:hAnsi="Times New Roman" w:cs="Times New Roman"/>
          <w:color w:val="000000"/>
        </w:rPr>
        <w:t xml:space="preserve"> freely given by the monarch) with the need for that Charter to contain substantial if nominally voluntary concessions on the part of King John.</w:t>
      </w:r>
    </w:p>
    <w:p w:rsidR="00A040C8" w:rsidRDefault="00F566C5" w:rsidP="005E3BC4">
      <w:pPr>
        <w:spacing w:line="480" w:lineRule="auto"/>
        <w:rPr>
          <w:rFonts w:ascii="Times New Roman" w:hAnsi="Times New Roman" w:cs="Times New Roman"/>
          <w:color w:val="000000"/>
        </w:rPr>
      </w:pPr>
      <w:r>
        <w:rPr>
          <w:rFonts w:ascii="Times New Roman" w:hAnsi="Times New Roman" w:cs="Times New Roman"/>
          <w:color w:val="000000"/>
        </w:rPr>
        <w:tab/>
      </w:r>
      <w:r w:rsidR="00EC5AAB">
        <w:rPr>
          <w:rFonts w:ascii="Times New Roman" w:hAnsi="Times New Roman" w:cs="Times New Roman"/>
          <w:color w:val="000000"/>
        </w:rPr>
        <w:t xml:space="preserve">As a result, Magna Carta associated customs not with the concept of dignities – as the constitutions of Clarendon in 1164 had done – but with liberties. In this sense, </w:t>
      </w:r>
      <w:r w:rsidR="00BF4D8A">
        <w:rPr>
          <w:rFonts w:ascii="Times New Roman" w:hAnsi="Times New Roman" w:cs="Times New Roman"/>
          <w:color w:val="000000"/>
        </w:rPr>
        <w:t xml:space="preserve">our emphasis on Magna Carta as the start of </w:t>
      </w:r>
      <w:r w:rsidR="00A040C8">
        <w:rPr>
          <w:rFonts w:ascii="Times New Roman" w:hAnsi="Times New Roman" w:cs="Times New Roman"/>
          <w:color w:val="000000"/>
        </w:rPr>
        <w:t>the</w:t>
      </w:r>
      <w:r w:rsidR="00BF4D8A">
        <w:rPr>
          <w:rFonts w:ascii="Times New Roman" w:hAnsi="Times New Roman" w:cs="Times New Roman"/>
          <w:color w:val="000000"/>
        </w:rPr>
        <w:t xml:space="preserve"> story of </w:t>
      </w:r>
      <w:r w:rsidR="00A040C8">
        <w:rPr>
          <w:rFonts w:ascii="Times New Roman" w:hAnsi="Times New Roman" w:cs="Times New Roman"/>
          <w:color w:val="000000"/>
        </w:rPr>
        <w:t xml:space="preserve">our </w:t>
      </w:r>
      <w:r w:rsidR="00BF4D8A">
        <w:rPr>
          <w:rFonts w:ascii="Times New Roman" w:hAnsi="Times New Roman" w:cs="Times New Roman"/>
          <w:color w:val="000000"/>
        </w:rPr>
        <w:t xml:space="preserve">rights is not misplaced – even if there is an enormous difference between the concepts of liberties in Magna Carta and our understanding of rights. But words matter, and by emphasizing the liberties, the </w:t>
      </w:r>
      <w:proofErr w:type="spellStart"/>
      <w:r w:rsidR="00BF4D8A">
        <w:rPr>
          <w:rFonts w:ascii="Times New Roman" w:hAnsi="Times New Roman" w:cs="Times New Roman"/>
          <w:i/>
          <w:color w:val="000000"/>
        </w:rPr>
        <w:t>libertates</w:t>
      </w:r>
      <w:proofErr w:type="spellEnd"/>
      <w:r w:rsidR="00BF4D8A">
        <w:rPr>
          <w:rFonts w:ascii="Times New Roman" w:hAnsi="Times New Roman" w:cs="Times New Roman"/>
          <w:color w:val="000000"/>
        </w:rPr>
        <w:t xml:space="preserve">, of Magna Carta, we </w:t>
      </w:r>
      <w:r w:rsidR="00EE3A3C">
        <w:rPr>
          <w:rFonts w:ascii="Times New Roman" w:hAnsi="Times New Roman" w:cs="Times New Roman"/>
          <w:color w:val="000000"/>
        </w:rPr>
        <w:t>give</w:t>
      </w:r>
      <w:r w:rsidR="00BF4D8A">
        <w:rPr>
          <w:rFonts w:ascii="Times New Roman" w:hAnsi="Times New Roman" w:cs="Times New Roman"/>
          <w:color w:val="000000"/>
        </w:rPr>
        <w:t xml:space="preserve"> short shrift to its customs, its </w:t>
      </w:r>
      <w:proofErr w:type="spellStart"/>
      <w:r w:rsidR="001B6C40">
        <w:rPr>
          <w:rFonts w:ascii="Times New Roman" w:hAnsi="Times New Roman" w:cs="Times New Roman"/>
          <w:i/>
          <w:color w:val="000000"/>
        </w:rPr>
        <w:t>consuetudines</w:t>
      </w:r>
      <w:proofErr w:type="spellEnd"/>
      <w:r w:rsidR="00BF4D8A">
        <w:rPr>
          <w:rFonts w:ascii="Times New Roman" w:hAnsi="Times New Roman" w:cs="Times New Roman"/>
          <w:color w:val="000000"/>
        </w:rPr>
        <w:t>. Yes, the past implied by Magna Carta was “distorted [and] idealized.”</w:t>
      </w:r>
      <w:r w:rsidR="00BF4D8A">
        <w:rPr>
          <w:rStyle w:val="FootnoteReference"/>
          <w:rFonts w:ascii="Times New Roman" w:hAnsi="Times New Roman" w:cs="Times New Roman"/>
          <w:color w:val="000000"/>
        </w:rPr>
        <w:footnoteReference w:id="1"/>
      </w:r>
      <w:r w:rsidR="00BF4D8A">
        <w:rPr>
          <w:rFonts w:ascii="Times New Roman" w:hAnsi="Times New Roman" w:cs="Times New Roman"/>
          <w:color w:val="000000"/>
        </w:rPr>
        <w:t xml:space="preserve"> </w:t>
      </w:r>
      <w:proofErr w:type="gramStart"/>
      <w:r w:rsidR="00BF4D8A">
        <w:rPr>
          <w:rFonts w:ascii="Times New Roman" w:hAnsi="Times New Roman" w:cs="Times New Roman"/>
          <w:color w:val="000000"/>
        </w:rPr>
        <w:t>But nonetheless, there were “existing procedures, long-establish principles, [and] ancient liberties” underlying part</w:t>
      </w:r>
      <w:r w:rsidR="00EE3A3C">
        <w:rPr>
          <w:rFonts w:ascii="Times New Roman" w:hAnsi="Times New Roman" w:cs="Times New Roman"/>
          <w:color w:val="000000"/>
        </w:rPr>
        <w:t>icular chapters of Magna Carta.</w:t>
      </w:r>
      <w:proofErr w:type="gramEnd"/>
      <w:r w:rsidR="00EE3A3C">
        <w:rPr>
          <w:rFonts w:ascii="Times New Roman" w:hAnsi="Times New Roman" w:cs="Times New Roman"/>
          <w:color w:val="000000"/>
        </w:rPr>
        <w:t xml:space="preserve"> T</w:t>
      </w:r>
      <w:r w:rsidR="00BF4D8A">
        <w:rPr>
          <w:rFonts w:ascii="Times New Roman" w:hAnsi="Times New Roman" w:cs="Times New Roman"/>
          <w:color w:val="000000"/>
        </w:rPr>
        <w:t xml:space="preserve">he </w:t>
      </w:r>
      <w:r w:rsidR="00BF4D8A" w:rsidRPr="00EE3A3C">
        <w:rPr>
          <w:rFonts w:ascii="Times New Roman" w:hAnsi="Times New Roman" w:cs="Times New Roman"/>
          <w:color w:val="000000"/>
        </w:rPr>
        <w:t xml:space="preserve">word “customs” intentionally implied habitual practice. </w:t>
      </w:r>
      <w:r w:rsidR="006675D1" w:rsidRPr="00EE3A3C">
        <w:rPr>
          <w:rFonts w:ascii="Times New Roman" w:hAnsi="Times New Roman" w:cs="Times New Roman"/>
          <w:color w:val="000000"/>
        </w:rPr>
        <w:t xml:space="preserve">In our </w:t>
      </w:r>
      <w:r w:rsidR="00DF6872" w:rsidRPr="00EE3A3C">
        <w:rPr>
          <w:rFonts w:ascii="Times New Roman" w:hAnsi="Times New Roman" w:cs="Times New Roman"/>
          <w:color w:val="000000"/>
        </w:rPr>
        <w:t xml:space="preserve">adherence </w:t>
      </w:r>
      <w:r w:rsidR="004B39E5" w:rsidRPr="00EE3A3C">
        <w:rPr>
          <w:rFonts w:ascii="Times New Roman" w:hAnsi="Times New Roman" w:cs="Times New Roman"/>
          <w:color w:val="000000"/>
        </w:rPr>
        <w:t xml:space="preserve">to </w:t>
      </w:r>
      <w:r w:rsidR="00A13539">
        <w:rPr>
          <w:rFonts w:ascii="Times New Roman" w:hAnsi="Times New Roman" w:cs="Times New Roman"/>
          <w:color w:val="000000"/>
        </w:rPr>
        <w:t>a model of liberty defined by Locke and Rousseau</w:t>
      </w:r>
      <w:r w:rsidR="004B39E5" w:rsidRPr="00EE3A3C">
        <w:rPr>
          <w:rFonts w:ascii="Times New Roman" w:hAnsi="Times New Roman" w:cs="Times New Roman"/>
          <w:color w:val="000000"/>
        </w:rPr>
        <w:t xml:space="preserve">, we ignore the ways in which Magna Carta </w:t>
      </w:r>
      <w:r w:rsidR="00EE3A3C" w:rsidRPr="00EE3A3C">
        <w:rPr>
          <w:rFonts w:ascii="Times New Roman" w:hAnsi="Times New Roman" w:cs="Times New Roman"/>
          <w:color w:val="000000"/>
        </w:rPr>
        <w:t xml:space="preserve">is based on </w:t>
      </w:r>
      <w:r w:rsidR="00A13539">
        <w:rPr>
          <w:rFonts w:ascii="Times New Roman" w:hAnsi="Times New Roman" w:cs="Times New Roman"/>
          <w:color w:val="000000"/>
        </w:rPr>
        <w:t xml:space="preserve">a third alternative – a third way, to coin a phrase – </w:t>
      </w:r>
      <w:proofErr w:type="gramStart"/>
      <w:r w:rsidR="00EE3A3C" w:rsidRPr="00EE3A3C">
        <w:rPr>
          <w:rFonts w:ascii="Times New Roman" w:hAnsi="Times New Roman" w:cs="Times New Roman"/>
          <w:color w:val="000000"/>
        </w:rPr>
        <w:t>that</w:t>
      </w:r>
      <w:proofErr w:type="gramEnd"/>
      <w:r w:rsidR="00EE3A3C" w:rsidRPr="00EE3A3C">
        <w:rPr>
          <w:rFonts w:ascii="Times New Roman" w:hAnsi="Times New Roman" w:cs="Times New Roman"/>
          <w:color w:val="000000"/>
        </w:rPr>
        <w:t xml:space="preserve"> we might describe as </w:t>
      </w:r>
      <w:r w:rsidR="00A040C8">
        <w:rPr>
          <w:rFonts w:ascii="Times New Roman" w:hAnsi="Times New Roman" w:cs="Times New Roman"/>
          <w:color w:val="000000"/>
        </w:rPr>
        <w:t xml:space="preserve">customary and </w:t>
      </w:r>
      <w:proofErr w:type="spellStart"/>
      <w:r w:rsidR="008A37DA">
        <w:rPr>
          <w:rFonts w:ascii="Times New Roman" w:hAnsi="Times New Roman" w:cs="Times New Roman"/>
          <w:color w:val="000000"/>
        </w:rPr>
        <w:t>Burkean</w:t>
      </w:r>
      <w:proofErr w:type="spellEnd"/>
      <w:r w:rsidR="00EE3A3C" w:rsidRPr="00EE3A3C">
        <w:rPr>
          <w:rFonts w:ascii="Times New Roman" w:hAnsi="Times New Roman" w:cs="Times New Roman"/>
          <w:color w:val="000000"/>
        </w:rPr>
        <w:t xml:space="preserve">. </w:t>
      </w:r>
    </w:p>
    <w:p w:rsidR="00A040C8" w:rsidRDefault="00020151" w:rsidP="00A040C8">
      <w:pPr>
        <w:spacing w:line="480" w:lineRule="auto"/>
        <w:rPr>
          <w:rFonts w:ascii="Times New Roman" w:hAnsi="Times New Roman" w:cs="Times New Roman"/>
          <w:color w:val="000000"/>
        </w:rPr>
      </w:pPr>
      <w:r>
        <w:rPr>
          <w:rFonts w:ascii="Times New Roman" w:hAnsi="Times New Roman" w:cs="Times New Roman"/>
          <w:color w:val="000000"/>
        </w:rPr>
        <w:tab/>
      </w:r>
      <w:r w:rsidR="00A040C8">
        <w:rPr>
          <w:rFonts w:ascii="Times New Roman" w:hAnsi="Times New Roman" w:cs="Times New Roman"/>
          <w:color w:val="000000"/>
        </w:rPr>
        <w:t xml:space="preserve">The difference between </w:t>
      </w:r>
      <w:proofErr w:type="spellStart"/>
      <w:r w:rsidR="008A37DA">
        <w:rPr>
          <w:rFonts w:ascii="Times New Roman" w:hAnsi="Times New Roman" w:cs="Times New Roman"/>
          <w:color w:val="000000"/>
        </w:rPr>
        <w:t>Lockean</w:t>
      </w:r>
      <w:proofErr w:type="spellEnd"/>
      <w:r w:rsidR="00A040C8">
        <w:rPr>
          <w:rFonts w:ascii="Times New Roman" w:hAnsi="Times New Roman" w:cs="Times New Roman"/>
          <w:color w:val="000000"/>
        </w:rPr>
        <w:t xml:space="preserve"> interpretations of Magna Carta and a </w:t>
      </w:r>
      <w:proofErr w:type="spellStart"/>
      <w:r w:rsidR="008A37DA">
        <w:rPr>
          <w:rFonts w:ascii="Times New Roman" w:hAnsi="Times New Roman" w:cs="Times New Roman"/>
          <w:color w:val="000000"/>
        </w:rPr>
        <w:t>Burkean</w:t>
      </w:r>
      <w:proofErr w:type="spellEnd"/>
      <w:r w:rsidR="00A040C8">
        <w:rPr>
          <w:rFonts w:ascii="Times New Roman" w:hAnsi="Times New Roman" w:cs="Times New Roman"/>
          <w:color w:val="000000"/>
        </w:rPr>
        <w:t xml:space="preserve"> one is easiest to see at the very start of the Charter. In Chapter 1, the Charter confirms that “the English church shall be free, and shall have its rights undiminished and its liberties unimpaired.” In American commentaries on 1215, the thought was frequently expressed that this was a statement that has some connection to our modern conception of religious liberty, which, of course, it does not. It was instead </w:t>
      </w:r>
      <w:proofErr w:type="gramStart"/>
      <w:r w:rsidR="00A040C8">
        <w:rPr>
          <w:rFonts w:ascii="Times New Roman" w:hAnsi="Times New Roman" w:cs="Times New Roman"/>
          <w:color w:val="000000"/>
        </w:rPr>
        <w:t>a recognition</w:t>
      </w:r>
      <w:proofErr w:type="gramEnd"/>
      <w:r w:rsidR="00A040C8">
        <w:rPr>
          <w:rFonts w:ascii="Times New Roman" w:hAnsi="Times New Roman" w:cs="Times New Roman"/>
          <w:color w:val="000000"/>
        </w:rPr>
        <w:t xml:space="preserve"> of the spiritual and temporal power – not necessarily in that order – of the Church, an institution closely connected with but yet separate from the Monarchy. As Americans, by the grace of the Constitution, lack </w:t>
      </w:r>
      <w:r w:rsidR="00A040C8">
        <w:rPr>
          <w:rFonts w:ascii="Times New Roman" w:hAnsi="Times New Roman" w:cs="Times New Roman"/>
          <w:color w:val="000000"/>
        </w:rPr>
        <w:lastRenderedPageBreak/>
        <w:t>an established church, we are probably particularly ill-suited to understanding this distinction. But the error is telling nonetheless: we are eager to see rights, when we should see customs and institutions.</w:t>
      </w:r>
    </w:p>
    <w:p w:rsidR="00A040C8" w:rsidRDefault="00A040C8" w:rsidP="00A040C8">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Magna Carta is based on the argument that the </w:t>
      </w:r>
      <w:r w:rsidRPr="00EE3A3C">
        <w:rPr>
          <w:rFonts w:ascii="Times New Roman" w:hAnsi="Times New Roman" w:cs="Times New Roman"/>
          <w:color w:val="000000"/>
        </w:rPr>
        <w:t xml:space="preserve">social and spiritual institutions of England </w:t>
      </w:r>
      <w:r>
        <w:rPr>
          <w:rFonts w:ascii="Times New Roman" w:hAnsi="Times New Roman" w:cs="Times New Roman"/>
          <w:color w:val="000000"/>
        </w:rPr>
        <w:t xml:space="preserve">should be restored </w:t>
      </w:r>
      <w:r w:rsidRPr="00EE3A3C">
        <w:rPr>
          <w:rFonts w:ascii="Times New Roman" w:hAnsi="Times New Roman" w:cs="Times New Roman"/>
          <w:color w:val="000000"/>
        </w:rPr>
        <w:t xml:space="preserve">to their traditional and proper places, as the barons and bishops wanted them to be understood. That is why the Charter goes on about not making people build bridges unless they are legally bound to do so (clause 23), </w:t>
      </w:r>
      <w:r w:rsidR="001B6C40">
        <w:rPr>
          <w:rFonts w:ascii="Times New Roman" w:hAnsi="Times New Roman" w:cs="Times New Roman"/>
          <w:color w:val="000000"/>
        </w:rPr>
        <w:t xml:space="preserve">the </w:t>
      </w:r>
      <w:r w:rsidRPr="00EE3A3C">
        <w:rPr>
          <w:rFonts w:ascii="Times New Roman" w:hAnsi="Times New Roman" w:cs="Times New Roman"/>
          <w:color w:val="000000"/>
        </w:rPr>
        <w:t xml:space="preserve">inheritance procedures for free men (clause 27), the clearing of fish-weirs (clause 33), and the need to allow merchants to travel (clause 41). All of these chapters express the assumption that </w:t>
      </w:r>
      <w:r>
        <w:rPr>
          <w:rFonts w:ascii="Times New Roman" w:hAnsi="Times New Roman" w:cs="Times New Roman"/>
          <w:color w:val="000000"/>
        </w:rPr>
        <w:t>England</w:t>
      </w:r>
      <w:r w:rsidRPr="00EE3A3C">
        <w:rPr>
          <w:rFonts w:ascii="Times New Roman" w:hAnsi="Times New Roman" w:cs="Times New Roman"/>
          <w:color w:val="000000"/>
        </w:rPr>
        <w:t xml:space="preserve"> has many circles, each of which has its own role to play</w:t>
      </w:r>
      <w:r>
        <w:rPr>
          <w:rFonts w:ascii="Times New Roman" w:hAnsi="Times New Roman" w:cs="Times New Roman"/>
          <w:color w:val="000000"/>
        </w:rPr>
        <w:t xml:space="preserve"> in the society as a whole. </w:t>
      </w:r>
      <w:r w:rsidR="00EE3A3C" w:rsidRPr="00EE3A3C">
        <w:rPr>
          <w:rFonts w:ascii="Times New Roman" w:hAnsi="Times New Roman" w:cs="Times New Roman"/>
          <w:color w:val="000000"/>
        </w:rPr>
        <w:t>Together, these chapters</w:t>
      </w:r>
      <w:r w:rsidR="003237E2">
        <w:rPr>
          <w:rFonts w:ascii="Times New Roman" w:hAnsi="Times New Roman" w:cs="Times New Roman"/>
          <w:color w:val="000000"/>
        </w:rPr>
        <w:t>, and the Charter as a whole,</w:t>
      </w:r>
      <w:r w:rsidR="00EE3A3C" w:rsidRPr="00EE3A3C">
        <w:rPr>
          <w:rFonts w:ascii="Times New Roman" w:hAnsi="Times New Roman" w:cs="Times New Roman"/>
          <w:color w:val="000000"/>
        </w:rPr>
        <w:t xml:space="preserve"> express a social vision: A well-ordered </w:t>
      </w:r>
      <w:r w:rsidR="00EE3A3C">
        <w:rPr>
          <w:rFonts w:ascii="Times New Roman" w:hAnsi="Times New Roman" w:cs="Times New Roman"/>
          <w:color w:val="000000"/>
        </w:rPr>
        <w:t>land</w:t>
      </w:r>
      <w:r w:rsidR="00EE3A3C" w:rsidRPr="00EE3A3C">
        <w:rPr>
          <w:rFonts w:ascii="Times New Roman" w:hAnsi="Times New Roman" w:cs="Times New Roman"/>
          <w:color w:val="000000"/>
        </w:rPr>
        <w:t xml:space="preserve"> is a house of many mansions, each of which is valuable on </w:t>
      </w:r>
      <w:r>
        <w:rPr>
          <w:rFonts w:ascii="Times New Roman" w:hAnsi="Times New Roman" w:cs="Times New Roman"/>
          <w:color w:val="000000"/>
        </w:rPr>
        <w:t>its own terms.</w:t>
      </w:r>
    </w:p>
    <w:p w:rsidR="003237E2" w:rsidRPr="003237E2" w:rsidRDefault="0027297B" w:rsidP="00A040C8">
      <w:pPr>
        <w:spacing w:line="480" w:lineRule="auto"/>
        <w:ind w:firstLine="720"/>
        <w:rPr>
          <w:rStyle w:val="apple-converted-space"/>
          <w:rFonts w:ascii="Times New Roman" w:hAnsi="Times New Roman" w:cs="Times New Roman"/>
          <w:color w:val="000000"/>
        </w:rPr>
      </w:pPr>
      <w:r>
        <w:rPr>
          <w:rFonts w:ascii="Times New Roman" w:hAnsi="Times New Roman" w:cs="Times New Roman"/>
          <w:color w:val="000000"/>
        </w:rPr>
        <w:t>In this vision, the</w:t>
      </w:r>
      <w:r w:rsidR="00EE3A3C" w:rsidRPr="00EE3A3C">
        <w:rPr>
          <w:rFonts w:ascii="Times New Roman" w:hAnsi="Times New Roman" w:cs="Times New Roman"/>
          <w:color w:val="000000"/>
        </w:rPr>
        <w:t xml:space="preserve"> problem with arbitrary government is n</w:t>
      </w:r>
      <w:r w:rsidR="00252369">
        <w:rPr>
          <w:rFonts w:ascii="Times New Roman" w:hAnsi="Times New Roman" w:cs="Times New Roman"/>
          <w:color w:val="000000"/>
        </w:rPr>
        <w:t>ot precisely that it is lawless. The problem</w:t>
      </w:r>
      <w:r w:rsidR="00EE3A3C" w:rsidRPr="00EE3A3C">
        <w:rPr>
          <w:rFonts w:ascii="Times New Roman" w:hAnsi="Times New Roman" w:cs="Times New Roman"/>
          <w:color w:val="000000"/>
        </w:rPr>
        <w:t xml:space="preserve"> is that </w:t>
      </w:r>
      <w:r w:rsidR="00252369">
        <w:rPr>
          <w:rFonts w:ascii="Times New Roman" w:hAnsi="Times New Roman" w:cs="Times New Roman"/>
          <w:color w:val="000000"/>
        </w:rPr>
        <w:t>arbitrary government</w:t>
      </w:r>
      <w:r w:rsidR="00EE3A3C" w:rsidRPr="00EE3A3C">
        <w:rPr>
          <w:rFonts w:ascii="Times New Roman" w:hAnsi="Times New Roman" w:cs="Times New Roman"/>
          <w:color w:val="000000"/>
        </w:rPr>
        <w:t xml:space="preserve"> does not respect the boundaries between itself and the other mansions. </w:t>
      </w:r>
      <w:r w:rsidR="00252369">
        <w:rPr>
          <w:rFonts w:ascii="Times New Roman" w:hAnsi="Times New Roman" w:cs="Times New Roman"/>
          <w:color w:val="000000"/>
        </w:rPr>
        <w:t>The sense of Magna Carta is not based on a system of</w:t>
      </w:r>
      <w:r w:rsidR="00EE3A3C" w:rsidRPr="00EE3A3C">
        <w:rPr>
          <w:rFonts w:ascii="Times New Roman" w:hAnsi="Times New Roman" w:cs="Times New Roman"/>
          <w:color w:val="000000"/>
        </w:rPr>
        <w:t xml:space="preserve"> checks and balances, as </w:t>
      </w:r>
      <w:r>
        <w:rPr>
          <w:rFonts w:ascii="Times New Roman" w:hAnsi="Times New Roman" w:cs="Times New Roman"/>
          <w:color w:val="000000"/>
        </w:rPr>
        <w:t>embodied in</w:t>
      </w:r>
      <w:r w:rsidR="00252369">
        <w:rPr>
          <w:rFonts w:ascii="Times New Roman" w:hAnsi="Times New Roman" w:cs="Times New Roman"/>
          <w:color w:val="000000"/>
        </w:rPr>
        <w:t xml:space="preserve"> the American Constitution. It is based, rather, on a</w:t>
      </w:r>
      <w:r w:rsidR="00EE3A3C" w:rsidRPr="00EE3A3C">
        <w:rPr>
          <w:rFonts w:ascii="Times New Roman" w:hAnsi="Times New Roman" w:cs="Times New Roman"/>
          <w:color w:val="000000"/>
        </w:rPr>
        <w:t xml:space="preserve"> broader s</w:t>
      </w:r>
      <w:r w:rsidR="00252369">
        <w:rPr>
          <w:rFonts w:ascii="Times New Roman" w:hAnsi="Times New Roman" w:cs="Times New Roman"/>
          <w:color w:val="000000"/>
        </w:rPr>
        <w:t>ense that society has a balance</w:t>
      </w:r>
      <w:r w:rsidR="00EE3A3C" w:rsidRPr="00EE3A3C">
        <w:rPr>
          <w:rFonts w:ascii="Times New Roman" w:hAnsi="Times New Roman" w:cs="Times New Roman"/>
          <w:color w:val="000000"/>
        </w:rPr>
        <w:t xml:space="preserve"> that, for both practical and moral reasons, should not be wantonly disturbed</w:t>
      </w:r>
      <w:r w:rsidR="00252369">
        <w:rPr>
          <w:rFonts w:ascii="Times New Roman" w:hAnsi="Times New Roman" w:cs="Times New Roman"/>
          <w:color w:val="000000"/>
        </w:rPr>
        <w:t>, and which must be defended against such disturbances</w:t>
      </w:r>
      <w:r w:rsidR="00EE3A3C" w:rsidRPr="00EE3A3C">
        <w:rPr>
          <w:rFonts w:ascii="Times New Roman" w:hAnsi="Times New Roman" w:cs="Times New Roman"/>
          <w:color w:val="000000"/>
        </w:rPr>
        <w:t xml:space="preserve">. </w:t>
      </w:r>
      <w:r w:rsidR="00252369">
        <w:rPr>
          <w:rFonts w:ascii="Times New Roman" w:hAnsi="Times New Roman" w:cs="Times New Roman"/>
          <w:color w:val="000000"/>
        </w:rPr>
        <w:t>The Charter</w:t>
      </w:r>
      <w:r w:rsidR="00EE3A3C" w:rsidRPr="00EE3A3C">
        <w:rPr>
          <w:rFonts w:ascii="Times New Roman" w:hAnsi="Times New Roman" w:cs="Times New Roman"/>
          <w:color w:val="000000"/>
        </w:rPr>
        <w:t xml:space="preserve"> also expresses a sense that the </w:t>
      </w:r>
      <w:r w:rsidR="00EE3A3C">
        <w:rPr>
          <w:rFonts w:ascii="Times New Roman" w:hAnsi="Times New Roman" w:cs="Times New Roman"/>
          <w:color w:val="000000"/>
        </w:rPr>
        <w:t xml:space="preserve">restraint on government </w:t>
      </w:r>
      <w:r w:rsidR="00252369">
        <w:rPr>
          <w:rFonts w:ascii="Times New Roman" w:hAnsi="Times New Roman" w:cs="Times New Roman"/>
          <w:color w:val="000000"/>
        </w:rPr>
        <w:t>– the means for the d</w:t>
      </w:r>
      <w:r>
        <w:rPr>
          <w:rFonts w:ascii="Times New Roman" w:hAnsi="Times New Roman" w:cs="Times New Roman"/>
          <w:color w:val="000000"/>
        </w:rPr>
        <w:t xml:space="preserve">efense, when it is necessary – </w:t>
      </w:r>
      <w:r w:rsidR="00EE3A3C">
        <w:rPr>
          <w:rFonts w:ascii="Times New Roman" w:hAnsi="Times New Roman" w:cs="Times New Roman"/>
          <w:color w:val="000000"/>
        </w:rPr>
        <w:t xml:space="preserve">stems from </w:t>
      </w:r>
      <w:r w:rsidR="00EE3A3C" w:rsidRPr="00EE3A3C">
        <w:rPr>
          <w:rFonts w:ascii="Times New Roman" w:hAnsi="Times New Roman" w:cs="Times New Roman"/>
          <w:color w:val="000000"/>
        </w:rPr>
        <w:t xml:space="preserve">the existence of interests (in this </w:t>
      </w:r>
      <w:r w:rsidR="00EE3A3C" w:rsidRPr="003237E2">
        <w:rPr>
          <w:rFonts w:ascii="Times New Roman" w:hAnsi="Times New Roman" w:cs="Times New Roman"/>
          <w:color w:val="000000"/>
        </w:rPr>
        <w:t>case, particularly but not only the barons, the bishops, and the merchants) who sit apart from the king.</w:t>
      </w:r>
      <w:r w:rsidR="00EE3A3C" w:rsidRPr="003237E2">
        <w:rPr>
          <w:rStyle w:val="apple-converted-space"/>
          <w:rFonts w:ascii="Times New Roman" w:hAnsi="Times New Roman" w:cs="Times New Roman"/>
          <w:color w:val="000000"/>
        </w:rPr>
        <w:t> </w:t>
      </w:r>
      <w:r w:rsidR="00DB3F7D">
        <w:rPr>
          <w:rStyle w:val="apple-converted-space"/>
          <w:rFonts w:ascii="Times New Roman" w:hAnsi="Times New Roman" w:cs="Times New Roman"/>
          <w:color w:val="000000"/>
        </w:rPr>
        <w:t xml:space="preserve">By this way of thinking, it is no criticism of Magna Carta to say that it was a baronial effort to constrain the king, not a charter of human rights. The barons acted precisely because they were the ones who had the power to act, and </w:t>
      </w:r>
      <w:r w:rsidR="00A84D46">
        <w:rPr>
          <w:rStyle w:val="apple-converted-space"/>
          <w:rFonts w:ascii="Times New Roman" w:hAnsi="Times New Roman" w:cs="Times New Roman"/>
          <w:color w:val="000000"/>
        </w:rPr>
        <w:t xml:space="preserve">because they were </w:t>
      </w:r>
      <w:r w:rsidR="00DB3F7D">
        <w:rPr>
          <w:rStyle w:val="apple-converted-space"/>
          <w:rFonts w:ascii="Times New Roman" w:hAnsi="Times New Roman" w:cs="Times New Roman"/>
          <w:color w:val="000000"/>
        </w:rPr>
        <w:t xml:space="preserve">the ones who were the most immediately threatened by King John’s </w:t>
      </w:r>
      <w:r w:rsidR="00A84D46">
        <w:rPr>
          <w:rStyle w:val="apple-converted-space"/>
          <w:rFonts w:ascii="Times New Roman" w:hAnsi="Times New Roman" w:cs="Times New Roman"/>
          <w:color w:val="000000"/>
        </w:rPr>
        <w:t>lack of restraint. In a framework of rights, the barons are to be condemned as self-interested; in a framework of social institutions, the barons are to be praised for protecting their interests, and the interests of those sheltering beneath them.</w:t>
      </w:r>
    </w:p>
    <w:p w:rsidR="003237E2" w:rsidRDefault="003237E2" w:rsidP="003237E2">
      <w:pPr>
        <w:spacing w:line="480" w:lineRule="auto"/>
        <w:ind w:firstLine="720"/>
        <w:rPr>
          <w:rStyle w:val="apple-converted-space"/>
          <w:rFonts w:ascii="Times New Roman" w:hAnsi="Times New Roman" w:cs="Times New Roman"/>
          <w:color w:val="000000"/>
        </w:rPr>
      </w:pPr>
      <w:r w:rsidRPr="003237E2">
        <w:rPr>
          <w:rFonts w:ascii="Times New Roman" w:hAnsi="Times New Roman" w:cs="Times New Roman"/>
          <w:color w:val="000000"/>
        </w:rPr>
        <w:t>Of course, the 13th century’s v</w:t>
      </w:r>
      <w:r w:rsidR="00A84D46">
        <w:rPr>
          <w:rFonts w:ascii="Times New Roman" w:hAnsi="Times New Roman" w:cs="Times New Roman"/>
          <w:color w:val="000000"/>
        </w:rPr>
        <w:t>ision of how to define the interests</w:t>
      </w:r>
      <w:r w:rsidRPr="003237E2">
        <w:rPr>
          <w:rFonts w:ascii="Times New Roman" w:hAnsi="Times New Roman" w:cs="Times New Roman"/>
          <w:color w:val="000000"/>
        </w:rPr>
        <w:t xml:space="preserve"> is not ours: In this post-Enlightenment age, we are</w:t>
      </w:r>
      <w:r w:rsidR="008A37DA">
        <w:rPr>
          <w:rFonts w:ascii="Times New Roman" w:hAnsi="Times New Roman" w:cs="Times New Roman"/>
          <w:color w:val="000000"/>
        </w:rPr>
        <w:t xml:space="preserve"> all, at least in theory,</w:t>
      </w:r>
      <w:r w:rsidRPr="003237E2">
        <w:rPr>
          <w:rFonts w:ascii="Times New Roman" w:hAnsi="Times New Roman" w:cs="Times New Roman"/>
          <w:color w:val="000000"/>
        </w:rPr>
        <w:t xml:space="preserve"> free men. What </w:t>
      </w:r>
      <w:r w:rsidR="00651468">
        <w:rPr>
          <w:rFonts w:ascii="Times New Roman" w:hAnsi="Times New Roman" w:cs="Times New Roman"/>
          <w:color w:val="000000"/>
        </w:rPr>
        <w:t>the</w:t>
      </w:r>
      <w:r w:rsidRPr="003237E2">
        <w:rPr>
          <w:rFonts w:ascii="Times New Roman" w:hAnsi="Times New Roman" w:cs="Times New Roman"/>
          <w:color w:val="000000"/>
        </w:rPr>
        <w:t xml:space="preserve"> age </w:t>
      </w:r>
      <w:r w:rsidR="00651468">
        <w:rPr>
          <w:rFonts w:ascii="Times New Roman" w:hAnsi="Times New Roman" w:cs="Times New Roman"/>
          <w:color w:val="000000"/>
        </w:rPr>
        <w:t xml:space="preserve">of Magna Carta </w:t>
      </w:r>
      <w:r w:rsidRPr="003237E2">
        <w:rPr>
          <w:rFonts w:ascii="Times New Roman" w:hAnsi="Times New Roman" w:cs="Times New Roman"/>
          <w:color w:val="000000"/>
        </w:rPr>
        <w:t xml:space="preserve">understood as different and largely fixed social levels, we understand, in our age of greater social mobility, as separate </w:t>
      </w:r>
      <w:r w:rsidRPr="003237E2">
        <w:rPr>
          <w:rFonts w:ascii="Times New Roman" w:hAnsi="Times New Roman" w:cs="Times New Roman"/>
          <w:color w:val="000000"/>
        </w:rPr>
        <w:lastRenderedPageBreak/>
        <w:t>circles. But yet we are not so far away from them after all, for there is a long tradition of thought — now largely understood as conservative, though it was originally liberal — that base</w:t>
      </w:r>
      <w:r w:rsidR="00A13539">
        <w:rPr>
          <w:rFonts w:ascii="Times New Roman" w:hAnsi="Times New Roman" w:cs="Times New Roman"/>
          <w:color w:val="000000"/>
        </w:rPr>
        <w:t>d</w:t>
      </w:r>
      <w:r w:rsidRPr="003237E2">
        <w:rPr>
          <w:rFonts w:ascii="Times New Roman" w:hAnsi="Times New Roman" w:cs="Times New Roman"/>
          <w:color w:val="000000"/>
        </w:rPr>
        <w:t xml:space="preserve"> itself not on rights, but on this kind of common-sense conservatism of the little platoon.</w:t>
      </w:r>
      <w:r w:rsidRPr="003237E2">
        <w:rPr>
          <w:rStyle w:val="apple-converted-space"/>
          <w:rFonts w:ascii="Times New Roman" w:hAnsi="Times New Roman" w:cs="Times New Roman"/>
          <w:color w:val="000000"/>
        </w:rPr>
        <w:t> </w:t>
      </w:r>
      <w:r w:rsidRPr="003237E2">
        <w:rPr>
          <w:rFonts w:ascii="Times New Roman" w:hAnsi="Times New Roman" w:cs="Times New Roman"/>
          <w:color w:val="000000"/>
        </w:rPr>
        <w:t xml:space="preserve">This is why Burke </w:t>
      </w:r>
      <w:r>
        <w:rPr>
          <w:rFonts w:ascii="Times New Roman" w:hAnsi="Times New Roman" w:cs="Times New Roman"/>
          <w:color w:val="000000"/>
        </w:rPr>
        <w:t>condemned</w:t>
      </w:r>
      <w:r w:rsidRPr="003237E2">
        <w:rPr>
          <w:rFonts w:ascii="Times New Roman" w:hAnsi="Times New Roman" w:cs="Times New Roman"/>
          <w:color w:val="000000"/>
        </w:rPr>
        <w:t xml:space="preserve"> “Jacobinism by establishment</w:t>
      </w:r>
      <w:r>
        <w:rPr>
          <w:rFonts w:ascii="Times New Roman" w:hAnsi="Times New Roman" w:cs="Times New Roman"/>
          <w:color w:val="000000"/>
        </w:rPr>
        <w:t>,</w:t>
      </w:r>
      <w:r w:rsidRPr="003237E2">
        <w:rPr>
          <w:rFonts w:ascii="Times New Roman" w:hAnsi="Times New Roman" w:cs="Times New Roman"/>
          <w:color w:val="000000"/>
        </w:rPr>
        <w:t xml:space="preserve">” </w:t>
      </w:r>
      <w:r>
        <w:rPr>
          <w:rFonts w:ascii="Times New Roman" w:hAnsi="Times New Roman" w:cs="Times New Roman"/>
          <w:color w:val="000000"/>
        </w:rPr>
        <w:t xml:space="preserve">which he described </w:t>
      </w:r>
      <w:r w:rsidRPr="003237E2">
        <w:rPr>
          <w:rFonts w:ascii="Times New Roman" w:hAnsi="Times New Roman" w:cs="Times New Roman"/>
          <w:color w:val="000000"/>
        </w:rPr>
        <w:t xml:space="preserve">as a revolt against “the pre-existing laws and institutions” of a nation. And of these revolts, the more dangerous was the one against </w:t>
      </w:r>
      <w:r w:rsidRPr="009212DB">
        <w:rPr>
          <w:rFonts w:ascii="Times New Roman" w:hAnsi="Times New Roman" w:cs="Times New Roman"/>
          <w:color w:val="000000"/>
        </w:rPr>
        <w:t>th</w:t>
      </w:r>
      <w:r w:rsidRPr="003237E2">
        <w:rPr>
          <w:rFonts w:ascii="Times New Roman" w:hAnsi="Times New Roman" w:cs="Times New Roman"/>
          <w:color w:val="000000"/>
        </w:rPr>
        <w:t>e institutions, both moral and physical, because — as the Jacobins knew — without those institutions, there was only the state. The term “civil society,” like the language of rights, has been so abused that it no longer has much meaning. But it still just about captures the sense that society is composed of many mountain peaks that, because they are connected at their base, have great stability and strength. The connections are not formal and legal — we make them naturally in our daily lives. The great sin is not to build new paths to the peaks, which Burke welcomed; the great sin is to deny that the peaks are and should be separate.</w:t>
      </w:r>
    </w:p>
    <w:p w:rsidR="001F3E18" w:rsidRPr="001F3E18" w:rsidRDefault="00A13539" w:rsidP="003237E2">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short, Magna Carta is based on </w:t>
      </w:r>
      <w:r w:rsidR="00A040C8">
        <w:rPr>
          <w:rFonts w:ascii="Times New Roman" w:hAnsi="Times New Roman" w:cs="Times New Roman"/>
          <w:color w:val="000000"/>
        </w:rPr>
        <w:t>a particular</w:t>
      </w:r>
      <w:r>
        <w:rPr>
          <w:rFonts w:ascii="Times New Roman" w:hAnsi="Times New Roman" w:cs="Times New Roman"/>
          <w:color w:val="000000"/>
        </w:rPr>
        <w:t xml:space="preserve"> </w:t>
      </w:r>
      <w:r w:rsidR="0027297B">
        <w:rPr>
          <w:rFonts w:ascii="Times New Roman" w:hAnsi="Times New Roman" w:cs="Times New Roman"/>
          <w:color w:val="000000"/>
        </w:rPr>
        <w:t>sense of society</w:t>
      </w:r>
      <w:r>
        <w:rPr>
          <w:rFonts w:ascii="Times New Roman" w:hAnsi="Times New Roman" w:cs="Times New Roman"/>
          <w:color w:val="000000"/>
        </w:rPr>
        <w:t xml:space="preserve">, from which flowed the need to limit the king so that he would not traduce medieval English institutions. The fact that our institutions are </w:t>
      </w:r>
      <w:r w:rsidR="001F3E18">
        <w:rPr>
          <w:rFonts w:ascii="Times New Roman" w:hAnsi="Times New Roman" w:cs="Times New Roman"/>
          <w:color w:val="000000"/>
        </w:rPr>
        <w:t xml:space="preserve">very </w:t>
      </w:r>
      <w:r>
        <w:rPr>
          <w:rFonts w:ascii="Times New Roman" w:hAnsi="Times New Roman" w:cs="Times New Roman"/>
          <w:color w:val="000000"/>
        </w:rPr>
        <w:t xml:space="preserve">different from theirs does not diminish the value of society’s circles as entities that are separate from the state. Unfortunately, </w:t>
      </w:r>
      <w:r w:rsidR="001F3E18">
        <w:rPr>
          <w:rFonts w:ascii="Times New Roman" w:hAnsi="Times New Roman" w:cs="Times New Roman"/>
          <w:color w:val="000000"/>
        </w:rPr>
        <w:t xml:space="preserve">just as our concept of rights has collapsed into Locke, we no long accept that the peaks of the </w:t>
      </w:r>
      <w:r w:rsidR="001F3E18" w:rsidRPr="001F3E18">
        <w:rPr>
          <w:rFonts w:ascii="Times New Roman" w:hAnsi="Times New Roman" w:cs="Times New Roman"/>
          <w:color w:val="000000"/>
        </w:rPr>
        <w:t>mountains should be separate. The characteristic argument of liberalism today is, first, that every institution — family, church, business, art, education, travel, leisure, entertainment — is fundamentally political, and so not really separate from the political realm at all. It is all politics all the way down, a claim that would (</w:t>
      </w:r>
      <w:r w:rsidR="009612B7">
        <w:rPr>
          <w:rFonts w:ascii="Times New Roman" w:hAnsi="Times New Roman" w:cs="Times New Roman"/>
          <w:color w:val="000000"/>
        </w:rPr>
        <w:t>indeed</w:t>
      </w:r>
      <w:r w:rsidR="001F3E18" w:rsidRPr="001F3E18">
        <w:rPr>
          <w:rFonts w:ascii="Times New Roman" w:hAnsi="Times New Roman" w:cs="Times New Roman"/>
          <w:color w:val="000000"/>
        </w:rPr>
        <w:t xml:space="preserve"> did) horrify </w:t>
      </w:r>
      <w:r w:rsidR="009612B7">
        <w:rPr>
          <w:rFonts w:ascii="Times New Roman" w:hAnsi="Times New Roman" w:cs="Times New Roman"/>
          <w:color w:val="000000"/>
        </w:rPr>
        <w:t xml:space="preserve">civil conservatives like </w:t>
      </w:r>
      <w:r w:rsidR="001F3E18" w:rsidRPr="001F3E18">
        <w:rPr>
          <w:rFonts w:ascii="Times New Roman" w:hAnsi="Times New Roman" w:cs="Times New Roman"/>
          <w:color w:val="000000"/>
        </w:rPr>
        <w:t>British philosopher Michael Oakeshott. And that claim opens the door to a second one, which is that, as everything is political, all the peaks need to do the same job as the government — and if they do not, they will be forced to do so.</w:t>
      </w:r>
    </w:p>
    <w:p w:rsidR="001F3E18" w:rsidRDefault="001F3E18" w:rsidP="003237E2">
      <w:pPr>
        <w:spacing w:line="480" w:lineRule="auto"/>
        <w:ind w:firstLine="720"/>
        <w:rPr>
          <w:rStyle w:val="apple-converted-space"/>
          <w:rFonts w:ascii="Times New Roman" w:hAnsi="Times New Roman" w:cs="Times New Roman"/>
          <w:color w:val="000000"/>
        </w:rPr>
      </w:pPr>
      <w:r w:rsidRPr="001F3E18">
        <w:rPr>
          <w:rFonts w:ascii="Times New Roman" w:hAnsi="Times New Roman" w:cs="Times New Roman"/>
          <w:color w:val="000000"/>
        </w:rPr>
        <w:t xml:space="preserve">This is why, for example, we too often conceive of universities as institutions whose job it is to fix the (often </w:t>
      </w:r>
      <w:proofErr w:type="gramStart"/>
      <w:r w:rsidRPr="001F3E18">
        <w:rPr>
          <w:rFonts w:ascii="Times New Roman" w:hAnsi="Times New Roman" w:cs="Times New Roman"/>
          <w:color w:val="000000"/>
        </w:rPr>
        <w:t>exaggerated,</w:t>
      </w:r>
      <w:proofErr w:type="gramEnd"/>
      <w:r w:rsidRPr="001F3E18">
        <w:rPr>
          <w:rFonts w:ascii="Times New Roman" w:hAnsi="Times New Roman" w:cs="Times New Roman"/>
          <w:color w:val="000000"/>
        </w:rPr>
        <w:t xml:space="preserve"> and almost invariably misunderstood) ills of society. Universities self-evidently have a different role: to educate the young, an arduous task that might or might not contribute to addressing particular ills, but which in any case has a value of its own. But that is not how we justify the enormous sums we spend on education. Or take nonprofits, which are too often conceived of, to borrow a </w:t>
      </w:r>
      <w:r w:rsidRPr="001F3E18">
        <w:rPr>
          <w:rFonts w:ascii="Times New Roman" w:hAnsi="Times New Roman" w:cs="Times New Roman"/>
          <w:color w:val="000000"/>
        </w:rPr>
        <w:lastRenderedPageBreak/>
        <w:t>term from our British friends, as the “third sector” — with the implication that they are a wedge of the pie that sits alongside business and government, all working toward filling the same pie tin. There is no institution that cannot be politicized and then directed in this way, if your will is tyrannical enough.</w:t>
      </w:r>
    </w:p>
    <w:p w:rsidR="00836CC6" w:rsidRPr="00021F79" w:rsidRDefault="00A040C8" w:rsidP="00021F79">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the end, I </w:t>
      </w:r>
      <w:r w:rsidR="009612B7">
        <w:rPr>
          <w:rFonts w:ascii="Times New Roman" w:hAnsi="Times New Roman" w:cs="Times New Roman"/>
          <w:color w:val="000000"/>
        </w:rPr>
        <w:t>agree</w:t>
      </w:r>
      <w:r w:rsidR="007E4314">
        <w:rPr>
          <w:rFonts w:ascii="Times New Roman" w:hAnsi="Times New Roman" w:cs="Times New Roman"/>
          <w:color w:val="000000"/>
        </w:rPr>
        <w:t xml:space="preserve"> with those who memorialize Magna Carta as </w:t>
      </w:r>
      <w:r w:rsidR="00252369">
        <w:rPr>
          <w:rFonts w:ascii="Times New Roman" w:hAnsi="Times New Roman" w:cs="Times New Roman"/>
          <w:color w:val="000000"/>
        </w:rPr>
        <w:t xml:space="preserve">part of the long struggle </w:t>
      </w:r>
      <w:r w:rsidR="00252369" w:rsidRPr="007B2735">
        <w:rPr>
          <w:rFonts w:ascii="Times New Roman" w:hAnsi="Times New Roman" w:cs="Times New Roman"/>
          <w:color w:val="000000"/>
        </w:rPr>
        <w:t xml:space="preserve">against the enduring desire of government to find ways to </w:t>
      </w:r>
      <w:r w:rsidR="00021F79">
        <w:rPr>
          <w:rFonts w:ascii="Times New Roman" w:hAnsi="Times New Roman" w:cs="Times New Roman"/>
          <w:color w:val="000000"/>
        </w:rPr>
        <w:t>make their own</w:t>
      </w:r>
      <w:r w:rsidR="00252369" w:rsidRPr="007B2735">
        <w:rPr>
          <w:rFonts w:ascii="Times New Roman" w:hAnsi="Times New Roman" w:cs="Times New Roman"/>
          <w:color w:val="000000"/>
        </w:rPr>
        <w:t xml:space="preserve"> law, for our administrative courts today are merely King John in another guise. Even those more misguided souls who want to use it to talk about the ever-unfolding </w:t>
      </w:r>
      <w:r w:rsidR="007B2735" w:rsidRPr="007B2735">
        <w:rPr>
          <w:rFonts w:ascii="Times New Roman" w:hAnsi="Times New Roman" w:cs="Times New Roman"/>
          <w:color w:val="000000"/>
        </w:rPr>
        <w:t xml:space="preserve">future of our state-enforced rights are not </w:t>
      </w:r>
      <w:r w:rsidR="0027297B">
        <w:rPr>
          <w:rFonts w:ascii="Times New Roman" w:hAnsi="Times New Roman" w:cs="Times New Roman"/>
          <w:color w:val="000000"/>
        </w:rPr>
        <w:t>entirely</w:t>
      </w:r>
      <w:r w:rsidR="007B2735" w:rsidRPr="007B2735">
        <w:rPr>
          <w:rFonts w:ascii="Times New Roman" w:hAnsi="Times New Roman" w:cs="Times New Roman"/>
          <w:color w:val="000000"/>
        </w:rPr>
        <w:t xml:space="preserve"> bad, for even talking about rights in this way</w:t>
      </w:r>
      <w:r w:rsidR="00021F79">
        <w:rPr>
          <w:rFonts w:ascii="Times New Roman" w:hAnsi="Times New Roman" w:cs="Times New Roman"/>
          <w:color w:val="000000"/>
        </w:rPr>
        <w:t xml:space="preserve"> is talking about history – and i</w:t>
      </w:r>
      <w:r w:rsidR="007B2735" w:rsidRPr="007B2735">
        <w:rPr>
          <w:rFonts w:ascii="Times New Roman" w:hAnsi="Times New Roman" w:cs="Times New Roman"/>
          <w:color w:val="000000"/>
        </w:rPr>
        <w:t xml:space="preserve">f Magna Carta is to be used as a flame of liberty, it must at a minimum be remembered, as it </w:t>
      </w:r>
      <w:r w:rsidR="008A37DA">
        <w:rPr>
          <w:rFonts w:ascii="Times New Roman" w:hAnsi="Times New Roman" w:cs="Times New Roman"/>
          <w:color w:val="000000"/>
        </w:rPr>
        <w:t>was</w:t>
      </w:r>
      <w:r w:rsidR="007B2735" w:rsidRPr="007B2735">
        <w:rPr>
          <w:rFonts w:ascii="Times New Roman" w:hAnsi="Times New Roman" w:cs="Times New Roman"/>
          <w:color w:val="000000"/>
        </w:rPr>
        <w:t xml:space="preserve"> and will be. It was, after all, a political document from the start, and it remains so today. But ironically, it is a political document that grounds its vision on rejecting the argument that everything must be political, and that fact deserves to be remembered and celebrated as well. The social vision of Magna Carta is one where there is a good, wide world out there beyond the king. And that is a great vision worthy of </w:t>
      </w:r>
      <w:r w:rsidR="0027297B">
        <w:rPr>
          <w:rFonts w:ascii="Times New Roman" w:hAnsi="Times New Roman" w:cs="Times New Roman"/>
          <w:color w:val="000000"/>
        </w:rPr>
        <w:t>a</w:t>
      </w:r>
      <w:r w:rsidR="007B2735" w:rsidRPr="007B2735">
        <w:rPr>
          <w:rFonts w:ascii="Times New Roman" w:hAnsi="Times New Roman" w:cs="Times New Roman"/>
          <w:color w:val="000000"/>
        </w:rPr>
        <w:t xml:space="preserve"> Great Charter.</w:t>
      </w:r>
    </w:p>
    <w:sectPr w:rsidR="00836CC6" w:rsidRPr="00021F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4F" w:rsidRDefault="00FF134F" w:rsidP="00FF134F">
      <w:r>
        <w:separator/>
      </w:r>
    </w:p>
  </w:endnote>
  <w:endnote w:type="continuationSeparator" w:id="0">
    <w:p w:rsidR="00FF134F" w:rsidRDefault="00FF134F" w:rsidP="00FF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89836"/>
      <w:docPartObj>
        <w:docPartGallery w:val="Page Numbers (Bottom of Page)"/>
        <w:docPartUnique/>
      </w:docPartObj>
    </w:sdtPr>
    <w:sdtEndPr>
      <w:rPr>
        <w:noProof/>
      </w:rPr>
    </w:sdtEndPr>
    <w:sdtContent>
      <w:p w:rsidR="00FF134F" w:rsidRDefault="00FF134F">
        <w:pPr>
          <w:pStyle w:val="Footer"/>
          <w:jc w:val="center"/>
        </w:pPr>
        <w:r>
          <w:fldChar w:fldCharType="begin"/>
        </w:r>
        <w:r>
          <w:instrText xml:space="preserve"> PAGE   \* MERGEFORMAT </w:instrText>
        </w:r>
        <w:r>
          <w:fldChar w:fldCharType="separate"/>
        </w:r>
        <w:r w:rsidR="00D22FAC">
          <w:rPr>
            <w:noProof/>
          </w:rPr>
          <w:t>8</w:t>
        </w:r>
        <w:r>
          <w:rPr>
            <w:noProof/>
          </w:rPr>
          <w:fldChar w:fldCharType="end"/>
        </w:r>
      </w:p>
    </w:sdtContent>
  </w:sdt>
  <w:p w:rsidR="00FF134F" w:rsidRDefault="00FF1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4F" w:rsidRDefault="00FF134F" w:rsidP="00FF134F">
      <w:r>
        <w:separator/>
      </w:r>
    </w:p>
  </w:footnote>
  <w:footnote w:type="continuationSeparator" w:id="0">
    <w:p w:rsidR="00FF134F" w:rsidRDefault="00FF134F" w:rsidP="00FF134F">
      <w:r>
        <w:continuationSeparator/>
      </w:r>
    </w:p>
  </w:footnote>
  <w:footnote w:id="1">
    <w:p w:rsidR="00BF4D8A" w:rsidRPr="00BF4D8A" w:rsidRDefault="00BF4D8A">
      <w:pPr>
        <w:pStyle w:val="FootnoteText"/>
        <w:rPr>
          <w:rFonts w:ascii="Times New Roman" w:hAnsi="Times New Roman" w:cs="Times New Roman"/>
        </w:rPr>
      </w:pPr>
      <w:r w:rsidRPr="00BF4D8A">
        <w:rPr>
          <w:rStyle w:val="FootnoteReference"/>
          <w:rFonts w:ascii="Times New Roman" w:hAnsi="Times New Roman" w:cs="Times New Roman"/>
        </w:rPr>
        <w:footnoteRef/>
      </w:r>
      <w:r w:rsidRPr="00BF4D8A">
        <w:rPr>
          <w:rFonts w:ascii="Times New Roman" w:hAnsi="Times New Roman" w:cs="Times New Roman"/>
        </w:rPr>
        <w:t xml:space="preserve"> J.C. Holt, “The Ancient Constitution in Medieval England,” in Ellis Sandoz, ed., </w:t>
      </w:r>
      <w:r w:rsidRPr="00BF4D8A">
        <w:rPr>
          <w:rFonts w:ascii="Times New Roman" w:hAnsi="Times New Roman" w:cs="Times New Roman"/>
          <w:i/>
        </w:rPr>
        <w:t>The Roots of Liberty: Magna Carta, Ancient Constitution, and the Anglo-American Tradition of Rule of Law</w:t>
      </w:r>
      <w:r w:rsidR="00814BA4">
        <w:rPr>
          <w:rFonts w:ascii="Times New Roman" w:hAnsi="Times New Roman" w:cs="Times New Roman"/>
        </w:rPr>
        <w:t xml:space="preserve"> (2008), </w:t>
      </w:r>
      <w:r w:rsidR="00814BA4" w:rsidRPr="00814BA4">
        <w:rPr>
          <w:rFonts w:ascii="Times New Roman" w:hAnsi="Times New Roman" w:cs="Times New Roman"/>
        </w:rPr>
        <w:t>http://oll.libertyfund.org/titles/2180</w:t>
      </w:r>
      <w:r w:rsidR="00814BA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C9"/>
    <w:rsid w:val="00020151"/>
    <w:rsid w:val="00021F79"/>
    <w:rsid w:val="00075AF7"/>
    <w:rsid w:val="000A4A42"/>
    <w:rsid w:val="00111163"/>
    <w:rsid w:val="00135BCD"/>
    <w:rsid w:val="001B6C40"/>
    <w:rsid w:val="001B7AA2"/>
    <w:rsid w:val="001E1F21"/>
    <w:rsid w:val="001E38C6"/>
    <w:rsid w:val="001F3E18"/>
    <w:rsid w:val="001F70CA"/>
    <w:rsid w:val="00252369"/>
    <w:rsid w:val="0027297B"/>
    <w:rsid w:val="002A19E9"/>
    <w:rsid w:val="002A2284"/>
    <w:rsid w:val="002E4E00"/>
    <w:rsid w:val="003153BB"/>
    <w:rsid w:val="003237E2"/>
    <w:rsid w:val="00392EA0"/>
    <w:rsid w:val="003F3BC3"/>
    <w:rsid w:val="00402E7E"/>
    <w:rsid w:val="004B39E5"/>
    <w:rsid w:val="0052466A"/>
    <w:rsid w:val="00536C29"/>
    <w:rsid w:val="00593E52"/>
    <w:rsid w:val="005E3BC4"/>
    <w:rsid w:val="006340E6"/>
    <w:rsid w:val="00651468"/>
    <w:rsid w:val="006675D1"/>
    <w:rsid w:val="006B5FB0"/>
    <w:rsid w:val="007B2735"/>
    <w:rsid w:val="007D58DC"/>
    <w:rsid w:val="007E3AAA"/>
    <w:rsid w:val="007E4077"/>
    <w:rsid w:val="007E4314"/>
    <w:rsid w:val="00814BA4"/>
    <w:rsid w:val="00836CC6"/>
    <w:rsid w:val="00873109"/>
    <w:rsid w:val="008A37DA"/>
    <w:rsid w:val="008E0AAE"/>
    <w:rsid w:val="00906C74"/>
    <w:rsid w:val="00913F71"/>
    <w:rsid w:val="009212DB"/>
    <w:rsid w:val="00941360"/>
    <w:rsid w:val="009612B7"/>
    <w:rsid w:val="00980C30"/>
    <w:rsid w:val="00991753"/>
    <w:rsid w:val="009D42D6"/>
    <w:rsid w:val="009E6CA8"/>
    <w:rsid w:val="00A040C8"/>
    <w:rsid w:val="00A13539"/>
    <w:rsid w:val="00A278EE"/>
    <w:rsid w:val="00A84D46"/>
    <w:rsid w:val="00BA7053"/>
    <w:rsid w:val="00BD5382"/>
    <w:rsid w:val="00BF4D8A"/>
    <w:rsid w:val="00D22FAC"/>
    <w:rsid w:val="00D837A4"/>
    <w:rsid w:val="00DB3F7D"/>
    <w:rsid w:val="00DC3D67"/>
    <w:rsid w:val="00DF6872"/>
    <w:rsid w:val="00E10D40"/>
    <w:rsid w:val="00E17FC9"/>
    <w:rsid w:val="00E74B82"/>
    <w:rsid w:val="00EC5AAB"/>
    <w:rsid w:val="00EE3A3C"/>
    <w:rsid w:val="00F103B0"/>
    <w:rsid w:val="00F16F52"/>
    <w:rsid w:val="00F566C5"/>
    <w:rsid w:val="00F8119C"/>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4F"/>
    <w:pPr>
      <w:tabs>
        <w:tab w:val="center" w:pos="4680"/>
        <w:tab w:val="right" w:pos="9360"/>
      </w:tabs>
    </w:pPr>
  </w:style>
  <w:style w:type="character" w:customStyle="1" w:styleId="HeaderChar">
    <w:name w:val="Header Char"/>
    <w:basedOn w:val="DefaultParagraphFont"/>
    <w:link w:val="Header"/>
    <w:uiPriority w:val="99"/>
    <w:rsid w:val="00FF134F"/>
  </w:style>
  <w:style w:type="paragraph" w:styleId="Footer">
    <w:name w:val="footer"/>
    <w:basedOn w:val="Normal"/>
    <w:link w:val="FooterChar"/>
    <w:uiPriority w:val="99"/>
    <w:unhideWhenUsed/>
    <w:rsid w:val="00FF134F"/>
    <w:pPr>
      <w:tabs>
        <w:tab w:val="center" w:pos="4680"/>
        <w:tab w:val="right" w:pos="9360"/>
      </w:tabs>
    </w:pPr>
  </w:style>
  <w:style w:type="character" w:customStyle="1" w:styleId="FooterChar">
    <w:name w:val="Footer Char"/>
    <w:basedOn w:val="DefaultParagraphFont"/>
    <w:link w:val="Footer"/>
    <w:uiPriority w:val="99"/>
    <w:rsid w:val="00FF134F"/>
  </w:style>
  <w:style w:type="character" w:styleId="Hyperlink">
    <w:name w:val="Hyperlink"/>
    <w:basedOn w:val="DefaultParagraphFont"/>
    <w:uiPriority w:val="99"/>
    <w:unhideWhenUsed/>
    <w:rsid w:val="00392EA0"/>
    <w:rPr>
      <w:color w:val="0000FF" w:themeColor="hyperlink"/>
      <w:u w:val="single"/>
    </w:rPr>
  </w:style>
  <w:style w:type="paragraph" w:styleId="FootnoteText">
    <w:name w:val="footnote text"/>
    <w:basedOn w:val="Normal"/>
    <w:link w:val="FootnoteTextChar"/>
    <w:uiPriority w:val="99"/>
    <w:semiHidden/>
    <w:unhideWhenUsed/>
    <w:rsid w:val="00BF4D8A"/>
    <w:rPr>
      <w:sz w:val="20"/>
      <w:szCs w:val="20"/>
    </w:rPr>
  </w:style>
  <w:style w:type="character" w:customStyle="1" w:styleId="FootnoteTextChar">
    <w:name w:val="Footnote Text Char"/>
    <w:basedOn w:val="DefaultParagraphFont"/>
    <w:link w:val="FootnoteText"/>
    <w:uiPriority w:val="99"/>
    <w:semiHidden/>
    <w:rsid w:val="00BF4D8A"/>
    <w:rPr>
      <w:sz w:val="20"/>
      <w:szCs w:val="20"/>
    </w:rPr>
  </w:style>
  <w:style w:type="character" w:styleId="FootnoteReference">
    <w:name w:val="footnote reference"/>
    <w:basedOn w:val="DefaultParagraphFont"/>
    <w:uiPriority w:val="99"/>
    <w:semiHidden/>
    <w:unhideWhenUsed/>
    <w:rsid w:val="00BF4D8A"/>
    <w:rPr>
      <w:vertAlign w:val="superscript"/>
    </w:rPr>
  </w:style>
  <w:style w:type="character" w:customStyle="1" w:styleId="apple-converted-space">
    <w:name w:val="apple-converted-space"/>
    <w:basedOn w:val="DefaultParagraphFont"/>
    <w:rsid w:val="00EE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4F"/>
    <w:pPr>
      <w:tabs>
        <w:tab w:val="center" w:pos="4680"/>
        <w:tab w:val="right" w:pos="9360"/>
      </w:tabs>
    </w:pPr>
  </w:style>
  <w:style w:type="character" w:customStyle="1" w:styleId="HeaderChar">
    <w:name w:val="Header Char"/>
    <w:basedOn w:val="DefaultParagraphFont"/>
    <w:link w:val="Header"/>
    <w:uiPriority w:val="99"/>
    <w:rsid w:val="00FF134F"/>
  </w:style>
  <w:style w:type="paragraph" w:styleId="Footer">
    <w:name w:val="footer"/>
    <w:basedOn w:val="Normal"/>
    <w:link w:val="FooterChar"/>
    <w:uiPriority w:val="99"/>
    <w:unhideWhenUsed/>
    <w:rsid w:val="00FF134F"/>
    <w:pPr>
      <w:tabs>
        <w:tab w:val="center" w:pos="4680"/>
        <w:tab w:val="right" w:pos="9360"/>
      </w:tabs>
    </w:pPr>
  </w:style>
  <w:style w:type="character" w:customStyle="1" w:styleId="FooterChar">
    <w:name w:val="Footer Char"/>
    <w:basedOn w:val="DefaultParagraphFont"/>
    <w:link w:val="Footer"/>
    <w:uiPriority w:val="99"/>
    <w:rsid w:val="00FF134F"/>
  </w:style>
  <w:style w:type="character" w:styleId="Hyperlink">
    <w:name w:val="Hyperlink"/>
    <w:basedOn w:val="DefaultParagraphFont"/>
    <w:uiPriority w:val="99"/>
    <w:unhideWhenUsed/>
    <w:rsid w:val="00392EA0"/>
    <w:rPr>
      <w:color w:val="0000FF" w:themeColor="hyperlink"/>
      <w:u w:val="single"/>
    </w:rPr>
  </w:style>
  <w:style w:type="paragraph" w:styleId="FootnoteText">
    <w:name w:val="footnote text"/>
    <w:basedOn w:val="Normal"/>
    <w:link w:val="FootnoteTextChar"/>
    <w:uiPriority w:val="99"/>
    <w:semiHidden/>
    <w:unhideWhenUsed/>
    <w:rsid w:val="00BF4D8A"/>
    <w:rPr>
      <w:sz w:val="20"/>
      <w:szCs w:val="20"/>
    </w:rPr>
  </w:style>
  <w:style w:type="character" w:customStyle="1" w:styleId="FootnoteTextChar">
    <w:name w:val="Footnote Text Char"/>
    <w:basedOn w:val="DefaultParagraphFont"/>
    <w:link w:val="FootnoteText"/>
    <w:uiPriority w:val="99"/>
    <w:semiHidden/>
    <w:rsid w:val="00BF4D8A"/>
    <w:rPr>
      <w:sz w:val="20"/>
      <w:szCs w:val="20"/>
    </w:rPr>
  </w:style>
  <w:style w:type="character" w:styleId="FootnoteReference">
    <w:name w:val="footnote reference"/>
    <w:basedOn w:val="DefaultParagraphFont"/>
    <w:uiPriority w:val="99"/>
    <w:semiHidden/>
    <w:unhideWhenUsed/>
    <w:rsid w:val="00BF4D8A"/>
    <w:rPr>
      <w:vertAlign w:val="superscript"/>
    </w:rPr>
  </w:style>
  <w:style w:type="character" w:customStyle="1" w:styleId="apple-converted-space">
    <w:name w:val="apple-converted-space"/>
    <w:basedOn w:val="DefaultParagraphFont"/>
    <w:rsid w:val="00EE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582B-9165-4FDD-B2F4-144B28A5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Heritage Foundation</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2015-12-18T17:58:00Z</dcterms:created>
  <dcterms:modified xsi:type="dcterms:W3CDTF">2015-12-18T19:08:00Z</dcterms:modified>
</cp:coreProperties>
</file>