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7B9A" w14:textId="77777777" w:rsidR="00FF16D1" w:rsidRPr="00C44763" w:rsidRDefault="00CE3140" w:rsidP="00DF2420">
      <w:pPr>
        <w:jc w:val="center"/>
        <w:rPr>
          <w:rFonts w:ascii="Palatino Linotype" w:hAnsi="Palatino Linotype"/>
          <w:b/>
          <w:sz w:val="32"/>
          <w:szCs w:val="32"/>
        </w:rPr>
      </w:pPr>
      <w:r w:rsidRPr="00C44763">
        <w:rPr>
          <w:rFonts w:ascii="Palatino Linotype" w:hAnsi="Palatino Linotype"/>
          <w:b/>
          <w:i/>
          <w:sz w:val="32"/>
          <w:szCs w:val="32"/>
        </w:rPr>
        <w:t>Magna Charta</w:t>
      </w:r>
      <w:r w:rsidRPr="00C44763">
        <w:rPr>
          <w:rFonts w:ascii="Palatino Linotype" w:hAnsi="Palatino Linotype"/>
          <w:b/>
          <w:sz w:val="32"/>
          <w:szCs w:val="32"/>
        </w:rPr>
        <w:t xml:space="preserve"> and Parliament </w:t>
      </w:r>
      <w:r w:rsidR="005409DB">
        <w:rPr>
          <w:rFonts w:ascii="Palatino Linotype" w:hAnsi="Palatino Linotype"/>
          <w:b/>
          <w:sz w:val="32"/>
          <w:szCs w:val="32"/>
        </w:rPr>
        <w:t>1900-1914</w:t>
      </w:r>
    </w:p>
    <w:p w14:paraId="00CC869C" w14:textId="77777777" w:rsidR="00CE3140" w:rsidRDefault="00CE3140">
      <w:pPr>
        <w:rPr>
          <w:rFonts w:ascii="Palatino Linotype" w:hAnsi="Palatino Linotype"/>
          <w:sz w:val="24"/>
          <w:szCs w:val="24"/>
        </w:rPr>
      </w:pPr>
    </w:p>
    <w:p w14:paraId="4154C2F9" w14:textId="77777777" w:rsidR="00DF2420" w:rsidRDefault="00DF2420">
      <w:pPr>
        <w:rPr>
          <w:rFonts w:ascii="Palatino Linotype" w:hAnsi="Palatino Linotype"/>
          <w:sz w:val="24"/>
          <w:szCs w:val="24"/>
        </w:rPr>
      </w:pPr>
      <w:r>
        <w:rPr>
          <w:rFonts w:ascii="Palatino Linotype" w:hAnsi="Palatino Linotype"/>
          <w:sz w:val="24"/>
          <w:szCs w:val="24"/>
        </w:rPr>
        <w:t xml:space="preserve">In 1915 plans for the celebration of the 700th anniversary of </w:t>
      </w:r>
      <w:r>
        <w:rPr>
          <w:rFonts w:ascii="Palatino Linotype" w:hAnsi="Palatino Linotype"/>
          <w:i/>
          <w:sz w:val="24"/>
          <w:szCs w:val="24"/>
        </w:rPr>
        <w:t>Magna Carta</w:t>
      </w:r>
      <w:r>
        <w:rPr>
          <w:rFonts w:ascii="Palatino Linotype" w:hAnsi="Palatino Linotype"/>
          <w:sz w:val="24"/>
          <w:szCs w:val="24"/>
        </w:rPr>
        <w:t xml:space="preserve"> had to be dropped following the outbreak of the First World War. Such celebrations marked a sense of </w:t>
      </w:r>
      <w:r>
        <w:rPr>
          <w:rFonts w:ascii="Palatino Linotype" w:hAnsi="Palatino Linotype"/>
          <w:i/>
          <w:sz w:val="24"/>
          <w:szCs w:val="24"/>
        </w:rPr>
        <w:t>Magna Carta</w:t>
      </w:r>
      <w:r>
        <w:rPr>
          <w:rFonts w:ascii="Palatino Linotype" w:hAnsi="Palatino Linotype"/>
          <w:sz w:val="24"/>
          <w:szCs w:val="24"/>
        </w:rPr>
        <w:t xml:space="preserve"> as an event in the history of these islands. The usage of the term </w:t>
      </w:r>
      <w:r>
        <w:rPr>
          <w:rFonts w:ascii="Palatino Linotype" w:hAnsi="Palatino Linotype"/>
          <w:i/>
          <w:sz w:val="24"/>
          <w:szCs w:val="24"/>
        </w:rPr>
        <w:t>Magna Carta</w:t>
      </w:r>
      <w:r>
        <w:rPr>
          <w:rFonts w:ascii="Palatino Linotype" w:hAnsi="Palatino Linotype"/>
          <w:sz w:val="24"/>
          <w:szCs w:val="24"/>
        </w:rPr>
        <w:t xml:space="preserve"> in Parliament in the run-up to the First World War, however, shows that </w:t>
      </w:r>
      <w:proofErr w:type="gramStart"/>
      <w:r>
        <w:rPr>
          <w:rFonts w:ascii="Palatino Linotype" w:hAnsi="Palatino Linotype"/>
          <w:sz w:val="24"/>
          <w:szCs w:val="24"/>
        </w:rPr>
        <w:t>its</w:t>
      </w:r>
      <w:proofErr w:type="gramEnd"/>
      <w:r>
        <w:rPr>
          <w:rFonts w:ascii="Palatino Linotype" w:hAnsi="Palatino Linotype"/>
          <w:sz w:val="24"/>
          <w:szCs w:val="24"/>
        </w:rPr>
        <w:t xml:space="preserve"> granting was not seen only as a significant historical event to be memorialised. </w:t>
      </w:r>
      <w:r w:rsidR="00CD2461">
        <w:rPr>
          <w:rFonts w:ascii="Palatino Linotype" w:hAnsi="Palatino Linotype"/>
          <w:sz w:val="24"/>
          <w:szCs w:val="24"/>
        </w:rPr>
        <w:t>During the period from 1900, opening with war in South Africa and ending in 1914 with war throughout Europe, the Great Charter was mentioned 85 times in Parliament</w:t>
      </w:r>
      <w:r w:rsidR="002D021B">
        <w:rPr>
          <w:rFonts w:ascii="Palatino Linotype" w:hAnsi="Palatino Linotype"/>
          <w:sz w:val="24"/>
          <w:szCs w:val="24"/>
        </w:rPr>
        <w:t>.</w:t>
      </w:r>
      <w:r w:rsidR="00CD2461">
        <w:rPr>
          <w:rFonts w:ascii="Palatino Linotype" w:hAnsi="Palatino Linotype"/>
          <w:sz w:val="24"/>
          <w:szCs w:val="24"/>
        </w:rPr>
        <w:t xml:space="preserve"> </w:t>
      </w:r>
      <w:r w:rsidR="000B430F">
        <w:rPr>
          <w:rFonts w:ascii="Palatino Linotype" w:hAnsi="Palatino Linotype"/>
          <w:sz w:val="24"/>
          <w:szCs w:val="24"/>
        </w:rPr>
        <w:t xml:space="preserve">As a period marked by a lengthy constitutional crisis in 1909-11 and beset with problems in Ireland and the Empire, this seems like a good case study period to choose. </w:t>
      </w:r>
      <w:r w:rsidR="00CD2461">
        <w:rPr>
          <w:rFonts w:ascii="Palatino Linotype" w:hAnsi="Palatino Linotype"/>
          <w:sz w:val="24"/>
          <w:szCs w:val="24"/>
        </w:rPr>
        <w:t xml:space="preserve">This short paper attempts to analyse how and why it was invoked in Parliament in the years and what these various usages tell us about how </w:t>
      </w:r>
      <w:r w:rsidR="00CD2461">
        <w:rPr>
          <w:rFonts w:ascii="Palatino Linotype" w:hAnsi="Palatino Linotype"/>
          <w:i/>
          <w:sz w:val="24"/>
          <w:szCs w:val="24"/>
        </w:rPr>
        <w:t>Magna Carta</w:t>
      </w:r>
      <w:r w:rsidR="00CD2461">
        <w:rPr>
          <w:rFonts w:ascii="Palatino Linotype" w:hAnsi="Palatino Linotype"/>
          <w:sz w:val="24"/>
          <w:szCs w:val="24"/>
        </w:rPr>
        <w:t xml:space="preserve"> was understood at the time.</w:t>
      </w:r>
    </w:p>
    <w:p w14:paraId="6BC89C0E" w14:textId="77777777" w:rsidR="009A7145" w:rsidRDefault="00E40E00">
      <w:pPr>
        <w:rPr>
          <w:rFonts w:ascii="Palatino Linotype" w:hAnsi="Palatino Linotype"/>
          <w:sz w:val="24"/>
          <w:szCs w:val="24"/>
        </w:rPr>
      </w:pPr>
      <w:r>
        <w:rPr>
          <w:rFonts w:ascii="Palatino Linotype" w:hAnsi="Palatino Linotype"/>
          <w:sz w:val="24"/>
          <w:szCs w:val="24"/>
        </w:rPr>
        <w:t xml:space="preserve">The first point to make is that parliamentarians at the start of the twentieth century referred to </w:t>
      </w:r>
      <w:r>
        <w:rPr>
          <w:rFonts w:ascii="Palatino Linotype" w:hAnsi="Palatino Linotype"/>
          <w:i/>
          <w:sz w:val="24"/>
          <w:szCs w:val="24"/>
        </w:rPr>
        <w:t>Magna Charta</w:t>
      </w:r>
      <w:r>
        <w:rPr>
          <w:rFonts w:ascii="Palatino Linotype" w:hAnsi="Palatino Linotype"/>
          <w:sz w:val="24"/>
          <w:szCs w:val="24"/>
        </w:rPr>
        <w:t xml:space="preserve"> rather than </w:t>
      </w:r>
      <w:r>
        <w:rPr>
          <w:rFonts w:ascii="Palatino Linotype" w:hAnsi="Palatino Linotype"/>
          <w:i/>
          <w:sz w:val="24"/>
          <w:szCs w:val="24"/>
        </w:rPr>
        <w:t>Magna Carta</w:t>
      </w:r>
      <w:r>
        <w:rPr>
          <w:rFonts w:ascii="Palatino Linotype" w:hAnsi="Palatino Linotype"/>
          <w:sz w:val="24"/>
          <w:szCs w:val="24"/>
        </w:rPr>
        <w:t xml:space="preserve">. The modern appellation </w:t>
      </w:r>
      <w:r>
        <w:rPr>
          <w:rFonts w:ascii="Palatino Linotype" w:hAnsi="Palatino Linotype"/>
          <w:i/>
          <w:sz w:val="24"/>
          <w:szCs w:val="24"/>
        </w:rPr>
        <w:t>Magna Carta</w:t>
      </w:r>
      <w:r>
        <w:rPr>
          <w:rFonts w:ascii="Palatino Linotype" w:hAnsi="Palatino Linotype"/>
          <w:sz w:val="24"/>
          <w:szCs w:val="24"/>
        </w:rPr>
        <w:t xml:space="preserve"> was hardly ever used </w:t>
      </w:r>
      <w:r w:rsidR="00641A5F">
        <w:rPr>
          <w:rFonts w:ascii="Palatino Linotype" w:hAnsi="Palatino Linotype"/>
          <w:sz w:val="24"/>
          <w:szCs w:val="24"/>
        </w:rPr>
        <w:t>throughout the nineteenth century or before 1919, and only seems to have become the standard term in Parliament since the 1950s</w:t>
      </w:r>
      <w:r w:rsidR="00B82C67">
        <w:rPr>
          <w:rFonts w:ascii="Palatino Linotype" w:hAnsi="Palatino Linotype"/>
          <w:sz w:val="24"/>
          <w:szCs w:val="24"/>
        </w:rPr>
        <w:t>. A</w:t>
      </w:r>
      <w:r w:rsidR="009A7145">
        <w:rPr>
          <w:rFonts w:ascii="Palatino Linotype" w:hAnsi="Palatino Linotype"/>
          <w:sz w:val="24"/>
          <w:szCs w:val="24"/>
        </w:rPr>
        <w:t>ccordingly</w:t>
      </w:r>
      <w:r w:rsidR="00B82C67">
        <w:rPr>
          <w:rFonts w:ascii="Palatino Linotype" w:hAnsi="Palatino Linotype"/>
          <w:sz w:val="24"/>
          <w:szCs w:val="24"/>
        </w:rPr>
        <w:t>,</w:t>
      </w:r>
      <w:r w:rsidR="009A7145">
        <w:rPr>
          <w:rFonts w:ascii="Palatino Linotype" w:hAnsi="Palatino Linotype"/>
          <w:sz w:val="24"/>
          <w:szCs w:val="24"/>
        </w:rPr>
        <w:t xml:space="preserve"> throughout the rest of this paper I am going to use the term as it was in circulation at the time</w:t>
      </w:r>
      <w:r w:rsidR="00641A5F">
        <w:rPr>
          <w:rFonts w:ascii="Palatino Linotype" w:hAnsi="Palatino Linotype"/>
          <w:sz w:val="24"/>
          <w:szCs w:val="24"/>
        </w:rPr>
        <w:t xml:space="preserve">. </w:t>
      </w:r>
    </w:p>
    <w:p w14:paraId="0A17A2FA" w14:textId="77777777" w:rsidR="000B430F" w:rsidRDefault="007C5E5F">
      <w:pPr>
        <w:rPr>
          <w:rFonts w:ascii="Palatino Linotype" w:hAnsi="Palatino Linotype"/>
          <w:sz w:val="24"/>
          <w:szCs w:val="24"/>
        </w:rPr>
      </w:pPr>
      <w:r>
        <w:rPr>
          <w:rFonts w:ascii="Palatino Linotype" w:hAnsi="Palatino Linotype"/>
          <w:sz w:val="24"/>
          <w:szCs w:val="24"/>
        </w:rPr>
        <w:t xml:space="preserve">In using the term parliamentarians of the time </w:t>
      </w:r>
      <w:r w:rsidR="000B430F">
        <w:rPr>
          <w:rFonts w:ascii="Palatino Linotype" w:hAnsi="Palatino Linotype"/>
          <w:sz w:val="24"/>
          <w:szCs w:val="24"/>
        </w:rPr>
        <w:t xml:space="preserve">could </w:t>
      </w:r>
      <w:r w:rsidR="00786003">
        <w:rPr>
          <w:rFonts w:ascii="Palatino Linotype" w:hAnsi="Palatino Linotype"/>
          <w:sz w:val="24"/>
          <w:szCs w:val="24"/>
        </w:rPr>
        <w:t xml:space="preserve">simply </w:t>
      </w:r>
      <w:r w:rsidR="000B430F">
        <w:rPr>
          <w:rFonts w:ascii="Palatino Linotype" w:hAnsi="Palatino Linotype"/>
          <w:sz w:val="24"/>
          <w:szCs w:val="24"/>
        </w:rPr>
        <w:t>follow H. H. Asquith, the distinguished lawyer who served as Li</w:t>
      </w:r>
      <w:r w:rsidR="009A7145">
        <w:rPr>
          <w:rFonts w:ascii="Palatino Linotype" w:hAnsi="Palatino Linotype"/>
          <w:sz w:val="24"/>
          <w:szCs w:val="24"/>
        </w:rPr>
        <w:t>beral Prime Minister 1908-16, who</w:t>
      </w:r>
      <w:r w:rsidR="000B430F">
        <w:rPr>
          <w:rFonts w:ascii="Palatino Linotype" w:hAnsi="Palatino Linotype"/>
          <w:sz w:val="24"/>
          <w:szCs w:val="24"/>
        </w:rPr>
        <w:t xml:space="preserve"> </w:t>
      </w:r>
      <w:r w:rsidR="00AD35A7">
        <w:rPr>
          <w:rFonts w:ascii="Palatino Linotype" w:hAnsi="Palatino Linotype"/>
          <w:sz w:val="24"/>
          <w:szCs w:val="24"/>
        </w:rPr>
        <w:t xml:space="preserve">in 1911 </w:t>
      </w:r>
      <w:r w:rsidR="000B430F">
        <w:rPr>
          <w:rFonts w:ascii="Palatino Linotype" w:hAnsi="Palatino Linotype"/>
          <w:sz w:val="24"/>
          <w:szCs w:val="24"/>
        </w:rPr>
        <w:t>describ</w:t>
      </w:r>
      <w:r w:rsidR="00AD35A7">
        <w:rPr>
          <w:rFonts w:ascii="Palatino Linotype" w:hAnsi="Palatino Linotype"/>
          <w:sz w:val="24"/>
          <w:szCs w:val="24"/>
        </w:rPr>
        <w:t>ed</w:t>
      </w:r>
      <w:r w:rsidR="000B430F">
        <w:rPr>
          <w:rFonts w:ascii="Palatino Linotype" w:hAnsi="Palatino Linotype"/>
          <w:sz w:val="24"/>
          <w:szCs w:val="24"/>
        </w:rPr>
        <w:t xml:space="preserve"> </w:t>
      </w:r>
      <w:r w:rsidR="000B430F">
        <w:rPr>
          <w:rFonts w:ascii="Palatino Linotype" w:hAnsi="Palatino Linotype"/>
          <w:i/>
          <w:sz w:val="24"/>
          <w:szCs w:val="24"/>
        </w:rPr>
        <w:t>Magna</w:t>
      </w:r>
      <w:r w:rsidR="009A7145">
        <w:rPr>
          <w:rFonts w:ascii="Palatino Linotype" w:hAnsi="Palatino Linotype"/>
          <w:i/>
          <w:sz w:val="24"/>
          <w:szCs w:val="24"/>
        </w:rPr>
        <w:t xml:space="preserve"> Charta</w:t>
      </w:r>
      <w:r w:rsidR="009A7145">
        <w:rPr>
          <w:rFonts w:ascii="Palatino Linotype" w:hAnsi="Palatino Linotype"/>
          <w:sz w:val="24"/>
          <w:szCs w:val="24"/>
        </w:rPr>
        <w:t xml:space="preserve"> as a statute </w:t>
      </w:r>
      <w:r w:rsidR="00AD35A7">
        <w:rPr>
          <w:rFonts w:ascii="Palatino Linotype" w:hAnsi="Palatino Linotype"/>
          <w:sz w:val="24"/>
          <w:szCs w:val="24"/>
        </w:rPr>
        <w:t>which Parliament can 'alter or amend</w:t>
      </w:r>
      <w:proofErr w:type="gramStart"/>
      <w:r w:rsidR="00AD35A7">
        <w:rPr>
          <w:rFonts w:ascii="Palatino Linotype" w:hAnsi="Palatino Linotype"/>
          <w:sz w:val="24"/>
          <w:szCs w:val="24"/>
        </w:rPr>
        <w:t>....if</w:t>
      </w:r>
      <w:proofErr w:type="gramEnd"/>
      <w:r w:rsidR="00AD35A7">
        <w:rPr>
          <w:rFonts w:ascii="Palatino Linotype" w:hAnsi="Palatino Linotype"/>
          <w:sz w:val="24"/>
          <w:szCs w:val="24"/>
        </w:rPr>
        <w:t xml:space="preserve"> it pleases'</w:t>
      </w:r>
      <w:r w:rsidR="009A7145">
        <w:rPr>
          <w:rFonts w:ascii="Palatino Linotype" w:hAnsi="Palatino Linotype"/>
          <w:sz w:val="24"/>
          <w:szCs w:val="24"/>
        </w:rPr>
        <w:t>.</w:t>
      </w:r>
      <w:r w:rsidR="009A7145">
        <w:rPr>
          <w:rStyle w:val="FootnoteReference"/>
          <w:rFonts w:ascii="Palatino Linotype" w:hAnsi="Palatino Linotype"/>
          <w:sz w:val="24"/>
          <w:szCs w:val="24"/>
        </w:rPr>
        <w:footnoteReference w:id="1"/>
      </w:r>
      <w:r w:rsidR="00BC62F0">
        <w:rPr>
          <w:rFonts w:ascii="Palatino Linotype" w:hAnsi="Palatino Linotype"/>
          <w:sz w:val="24"/>
          <w:szCs w:val="24"/>
        </w:rPr>
        <w:t xml:space="preserve"> </w:t>
      </w:r>
      <w:r w:rsidR="00FF5303">
        <w:rPr>
          <w:rFonts w:ascii="Palatino Linotype" w:hAnsi="Palatino Linotype"/>
          <w:sz w:val="24"/>
          <w:szCs w:val="24"/>
        </w:rPr>
        <w:t xml:space="preserve">Technically Asquith was correct, as </w:t>
      </w:r>
      <w:r w:rsidR="00FF5303">
        <w:rPr>
          <w:rFonts w:ascii="Palatino Linotype" w:hAnsi="Palatino Linotype"/>
          <w:i/>
          <w:sz w:val="24"/>
          <w:szCs w:val="24"/>
        </w:rPr>
        <w:t>Magna Charta</w:t>
      </w:r>
      <w:r w:rsidR="00FF5303">
        <w:rPr>
          <w:rFonts w:ascii="Palatino Linotype" w:hAnsi="Palatino Linotype"/>
          <w:sz w:val="24"/>
          <w:szCs w:val="24"/>
        </w:rPr>
        <w:t xml:space="preserve"> had been incorporated onto the Statute Book through being confirmed by Parliament at least 55 times since its initial appearance.</w:t>
      </w:r>
      <w:r w:rsidR="00FF5303">
        <w:rPr>
          <w:rStyle w:val="FootnoteReference"/>
          <w:rFonts w:ascii="Palatino Linotype" w:hAnsi="Palatino Linotype"/>
          <w:sz w:val="24"/>
          <w:szCs w:val="24"/>
        </w:rPr>
        <w:footnoteReference w:id="2"/>
      </w:r>
      <w:r w:rsidR="002A043F">
        <w:rPr>
          <w:rFonts w:ascii="Palatino Linotype" w:hAnsi="Palatino Linotype"/>
          <w:sz w:val="24"/>
          <w:szCs w:val="24"/>
        </w:rPr>
        <w:t xml:space="preserve"> </w:t>
      </w:r>
      <w:r w:rsidR="00B82C67">
        <w:rPr>
          <w:rFonts w:ascii="Palatino Linotype" w:hAnsi="Palatino Linotype"/>
          <w:sz w:val="24"/>
          <w:szCs w:val="24"/>
        </w:rPr>
        <w:t>By 1911</w:t>
      </w:r>
      <w:r w:rsidR="00786003">
        <w:rPr>
          <w:rFonts w:ascii="Palatino Linotype" w:hAnsi="Palatino Linotype"/>
          <w:sz w:val="24"/>
          <w:szCs w:val="24"/>
        </w:rPr>
        <w:t>, as well, many of its provisions had been removed from the Statute Book</w:t>
      </w:r>
      <w:r w:rsidR="00B82C67">
        <w:rPr>
          <w:rFonts w:ascii="Palatino Linotype" w:hAnsi="Palatino Linotype"/>
          <w:sz w:val="24"/>
          <w:szCs w:val="24"/>
        </w:rPr>
        <w:t xml:space="preserve"> by parliamentary emendation in exactly the manner Asquith suggested</w:t>
      </w:r>
      <w:r w:rsidR="00786003">
        <w:rPr>
          <w:rFonts w:ascii="Palatino Linotype" w:hAnsi="Palatino Linotype"/>
          <w:sz w:val="24"/>
          <w:szCs w:val="24"/>
        </w:rPr>
        <w:t xml:space="preserve">. It could thus be referred to as antiquated. The Liberal MP, Robert Harcourt in 1913 </w:t>
      </w:r>
      <w:r w:rsidR="005409DB">
        <w:rPr>
          <w:rFonts w:ascii="Palatino Linotype" w:hAnsi="Palatino Linotype"/>
          <w:sz w:val="24"/>
          <w:szCs w:val="24"/>
        </w:rPr>
        <w:t>impli</w:t>
      </w:r>
      <w:r w:rsidR="00D531F9">
        <w:rPr>
          <w:rFonts w:ascii="Palatino Linotype" w:hAnsi="Palatino Linotype"/>
          <w:sz w:val="24"/>
          <w:szCs w:val="24"/>
        </w:rPr>
        <w:t>ed as much</w:t>
      </w:r>
      <w:r w:rsidR="00786003">
        <w:rPr>
          <w:rFonts w:ascii="Palatino Linotype" w:hAnsi="Palatino Linotype"/>
          <w:sz w:val="24"/>
          <w:szCs w:val="24"/>
        </w:rPr>
        <w:t xml:space="preserve"> in </w:t>
      </w:r>
      <w:r w:rsidR="00786003" w:rsidRPr="00786003">
        <w:rPr>
          <w:rFonts w:ascii="Palatino Linotype" w:hAnsi="Palatino Linotype"/>
          <w:sz w:val="24"/>
          <w:szCs w:val="24"/>
        </w:rPr>
        <w:t xml:space="preserve">saying </w:t>
      </w:r>
      <w:r w:rsidR="00786003">
        <w:rPr>
          <w:rFonts w:ascii="Palatino Linotype" w:hAnsi="Palatino Linotype"/>
          <w:sz w:val="24"/>
          <w:szCs w:val="24"/>
        </w:rPr>
        <w:t>'</w:t>
      </w:r>
      <w:r w:rsidR="00786003" w:rsidRPr="00786003">
        <w:rPr>
          <w:rFonts w:ascii="Palatino Linotype" w:hAnsi="Palatino Linotype"/>
          <w:color w:val="000000"/>
          <w:sz w:val="24"/>
          <w:szCs w:val="24"/>
        </w:rPr>
        <w:t xml:space="preserve">I know many people who have a kind word even for Magna Charta. But the Home Secretary does not regulate biplanes </w:t>
      </w:r>
      <w:r w:rsidR="00786003" w:rsidRPr="00786003">
        <w:rPr>
          <w:rFonts w:ascii="Palatino Linotype" w:hAnsi="Palatino Linotype"/>
          <w:color w:val="000000"/>
          <w:sz w:val="24"/>
          <w:szCs w:val="24"/>
        </w:rPr>
        <w:lastRenderedPageBreak/>
        <w:t>and Zeppelins by enactments originally designed for sedan chairs</w:t>
      </w:r>
      <w:r w:rsidR="00786003">
        <w:rPr>
          <w:rFonts w:ascii="Palatino Linotype" w:hAnsi="Palatino Linotype"/>
          <w:color w:val="000000"/>
          <w:sz w:val="24"/>
          <w:szCs w:val="24"/>
        </w:rPr>
        <w:t>.'</w:t>
      </w:r>
      <w:r w:rsidR="00786003">
        <w:rPr>
          <w:rStyle w:val="FootnoteReference"/>
          <w:rFonts w:ascii="Palatino Linotype" w:hAnsi="Palatino Linotype"/>
          <w:color w:val="000000"/>
          <w:sz w:val="24"/>
          <w:szCs w:val="24"/>
        </w:rPr>
        <w:footnoteReference w:id="3"/>
      </w:r>
      <w:r w:rsidR="00D531F9">
        <w:rPr>
          <w:rFonts w:ascii="Palatino Linotype" w:hAnsi="Palatino Linotype"/>
          <w:color w:val="000000"/>
          <w:sz w:val="24"/>
          <w:szCs w:val="24"/>
        </w:rPr>
        <w:t xml:space="preserve"> This was, however, an isolated example. </w:t>
      </w:r>
      <w:r>
        <w:rPr>
          <w:rFonts w:ascii="Palatino Linotype" w:hAnsi="Palatino Linotype"/>
          <w:color w:val="000000"/>
          <w:sz w:val="24"/>
          <w:szCs w:val="24"/>
        </w:rPr>
        <w:t>Generally speaking n</w:t>
      </w:r>
      <w:r w:rsidR="002A043F">
        <w:rPr>
          <w:rFonts w:ascii="Palatino Linotype" w:hAnsi="Palatino Linotype"/>
          <w:sz w:val="24"/>
          <w:szCs w:val="24"/>
        </w:rPr>
        <w:t xml:space="preserve">o other statute, except perhaps the Bill of Rights or </w:t>
      </w:r>
      <w:r w:rsidR="002A043F">
        <w:rPr>
          <w:rFonts w:ascii="Palatino Linotype" w:hAnsi="Palatino Linotype"/>
          <w:i/>
          <w:sz w:val="24"/>
          <w:szCs w:val="24"/>
        </w:rPr>
        <w:t>Habeas Corpus</w:t>
      </w:r>
      <w:r>
        <w:rPr>
          <w:rFonts w:ascii="Palatino Linotype" w:hAnsi="Palatino Linotype"/>
          <w:sz w:val="24"/>
          <w:szCs w:val="24"/>
        </w:rPr>
        <w:t xml:space="preserve"> -</w:t>
      </w:r>
      <w:r w:rsidR="002A043F">
        <w:rPr>
          <w:rFonts w:ascii="Palatino Linotype" w:hAnsi="Palatino Linotype"/>
          <w:sz w:val="24"/>
          <w:szCs w:val="24"/>
        </w:rPr>
        <w:t xml:space="preserve"> both of which were frequently mentioned in the same </w:t>
      </w:r>
      <w:proofErr w:type="gramStart"/>
      <w:r w:rsidR="002A043F">
        <w:rPr>
          <w:rFonts w:ascii="Palatino Linotype" w:hAnsi="Palatino Linotype"/>
          <w:sz w:val="24"/>
          <w:szCs w:val="24"/>
        </w:rPr>
        <w:t>breath</w:t>
      </w:r>
      <w:proofErr w:type="gramEnd"/>
      <w:r w:rsidR="002A043F">
        <w:rPr>
          <w:rFonts w:ascii="Palatino Linotype" w:hAnsi="Palatino Linotype"/>
          <w:sz w:val="24"/>
          <w:szCs w:val="24"/>
        </w:rPr>
        <w:t xml:space="preserve"> as </w:t>
      </w:r>
      <w:r w:rsidR="002A043F">
        <w:rPr>
          <w:rFonts w:ascii="Palatino Linotype" w:hAnsi="Palatino Linotype"/>
          <w:i/>
          <w:sz w:val="24"/>
          <w:szCs w:val="24"/>
        </w:rPr>
        <w:t>Magna Charta</w:t>
      </w:r>
      <w:r>
        <w:rPr>
          <w:rFonts w:ascii="Palatino Linotype" w:hAnsi="Palatino Linotype"/>
          <w:sz w:val="24"/>
          <w:szCs w:val="24"/>
        </w:rPr>
        <w:t xml:space="preserve"> -</w:t>
      </w:r>
      <w:r w:rsidR="002A043F">
        <w:rPr>
          <w:rFonts w:ascii="Palatino Linotype" w:hAnsi="Palatino Linotype"/>
          <w:sz w:val="24"/>
          <w:szCs w:val="24"/>
        </w:rPr>
        <w:t xml:space="preserve"> was referred to so widely or in such a range of settings in Parliament</w:t>
      </w:r>
      <w:r w:rsidR="005409DB">
        <w:rPr>
          <w:rFonts w:ascii="Palatino Linotype" w:hAnsi="Palatino Linotype"/>
          <w:sz w:val="24"/>
          <w:szCs w:val="24"/>
        </w:rPr>
        <w:t xml:space="preserve"> throughout these years</w:t>
      </w:r>
      <w:r w:rsidR="002A043F">
        <w:rPr>
          <w:rFonts w:ascii="Palatino Linotype" w:hAnsi="Palatino Linotype"/>
          <w:sz w:val="24"/>
          <w:szCs w:val="24"/>
        </w:rPr>
        <w:t xml:space="preserve">. </w:t>
      </w:r>
      <w:r w:rsidR="002A043F">
        <w:rPr>
          <w:rFonts w:ascii="Palatino Linotype" w:hAnsi="Palatino Linotype"/>
          <w:i/>
          <w:sz w:val="24"/>
          <w:szCs w:val="24"/>
        </w:rPr>
        <w:t>Magna Charta</w:t>
      </w:r>
      <w:r w:rsidR="002A043F">
        <w:rPr>
          <w:rFonts w:ascii="Palatino Linotype" w:hAnsi="Palatino Linotype"/>
          <w:sz w:val="24"/>
          <w:szCs w:val="24"/>
        </w:rPr>
        <w:t xml:space="preserve"> might technically have become a Statute through incorporation, but it was also much more.</w:t>
      </w:r>
    </w:p>
    <w:p w14:paraId="47D3F4DC" w14:textId="77777777" w:rsidR="0056022B" w:rsidRPr="00867869" w:rsidRDefault="00190DC2">
      <w:pPr>
        <w:rPr>
          <w:rFonts w:ascii="Palatino Linotype" w:hAnsi="Palatino Linotype"/>
          <w:sz w:val="24"/>
          <w:szCs w:val="24"/>
        </w:rPr>
      </w:pPr>
      <w:r>
        <w:rPr>
          <w:rFonts w:ascii="Palatino Linotype" w:hAnsi="Palatino Linotype"/>
          <w:sz w:val="24"/>
          <w:szCs w:val="24"/>
        </w:rPr>
        <w:t xml:space="preserve">As is suggested by its coupling with the Bill of Rights and </w:t>
      </w:r>
      <w:r>
        <w:rPr>
          <w:rFonts w:ascii="Palatino Linotype" w:hAnsi="Palatino Linotype"/>
          <w:i/>
          <w:sz w:val="24"/>
          <w:szCs w:val="24"/>
        </w:rPr>
        <w:t>Habeas Corpus</w:t>
      </w:r>
      <w:r>
        <w:rPr>
          <w:rFonts w:ascii="Palatino Linotype" w:hAnsi="Palatino Linotype"/>
          <w:sz w:val="24"/>
          <w:szCs w:val="24"/>
        </w:rPr>
        <w:t xml:space="preserve">, not least by Asquith himself, </w:t>
      </w:r>
      <w:r>
        <w:rPr>
          <w:rFonts w:ascii="Palatino Linotype" w:hAnsi="Palatino Linotype"/>
          <w:i/>
          <w:sz w:val="24"/>
          <w:szCs w:val="24"/>
        </w:rPr>
        <w:t>Magna Charta</w:t>
      </w:r>
      <w:r>
        <w:rPr>
          <w:rFonts w:ascii="Palatino Linotype" w:hAnsi="Palatino Linotype"/>
          <w:sz w:val="24"/>
          <w:szCs w:val="24"/>
        </w:rPr>
        <w:t xml:space="preserve"> was often invoked as a foundational document, one which shaped understanding of the law, of historical identity, and of the nature of authority. </w:t>
      </w:r>
      <w:r w:rsidR="0056022B">
        <w:rPr>
          <w:rFonts w:ascii="Palatino Linotype" w:hAnsi="Palatino Linotype"/>
          <w:sz w:val="24"/>
          <w:szCs w:val="24"/>
        </w:rPr>
        <w:t xml:space="preserve">All of these usages were wrapped up in the speech by the distinguished Liberal jurist, James Bryce, on the constitution for the new Commonwealth of </w:t>
      </w:r>
      <w:r w:rsidR="0056022B" w:rsidRPr="0056022B">
        <w:rPr>
          <w:rFonts w:ascii="Palatino Linotype" w:hAnsi="Palatino Linotype"/>
          <w:sz w:val="24"/>
          <w:szCs w:val="24"/>
        </w:rPr>
        <w:t>Australia, in which he concluded: '</w:t>
      </w:r>
      <w:r w:rsidR="0056022B" w:rsidRPr="0056022B">
        <w:rPr>
          <w:rFonts w:ascii="Palatino Linotype" w:eastAsia="Times New Roman" w:hAnsi="Palatino Linotype" w:cs="Times New Roman"/>
          <w:color w:val="000000"/>
          <w:sz w:val="24"/>
          <w:szCs w:val="24"/>
          <w:lang w:eastAsia="en-GB"/>
        </w:rPr>
        <w:t>This constitution is a product of that history, and witnesses to the vitality of the principles by which England had begun to be guided as far back as the days of Magna Charta.</w:t>
      </w:r>
      <w:r w:rsidR="0056022B">
        <w:rPr>
          <w:rFonts w:ascii="Palatino Linotype" w:eastAsia="Times New Roman" w:hAnsi="Palatino Linotype" w:cs="Times New Roman"/>
          <w:color w:val="000000"/>
          <w:sz w:val="24"/>
          <w:szCs w:val="24"/>
          <w:lang w:eastAsia="en-GB"/>
        </w:rPr>
        <w:t>'</w:t>
      </w:r>
      <w:r w:rsidR="0056022B">
        <w:rPr>
          <w:rStyle w:val="FootnoteReference"/>
          <w:rFonts w:ascii="Palatino Linotype" w:eastAsia="Times New Roman" w:hAnsi="Palatino Linotype" w:cs="Times New Roman"/>
          <w:color w:val="000000"/>
          <w:sz w:val="24"/>
          <w:szCs w:val="24"/>
          <w:lang w:eastAsia="en-GB"/>
        </w:rPr>
        <w:footnoteReference w:id="4"/>
      </w:r>
      <w:r w:rsidR="00D660F8">
        <w:rPr>
          <w:rFonts w:ascii="Palatino Linotype" w:eastAsia="Times New Roman" w:hAnsi="Palatino Linotype" w:cs="Times New Roman"/>
          <w:color w:val="000000"/>
          <w:sz w:val="24"/>
          <w:szCs w:val="24"/>
          <w:lang w:eastAsia="en-GB"/>
        </w:rPr>
        <w:t xml:space="preserve"> Indeed, about a fifth</w:t>
      </w:r>
      <w:r w:rsidR="00867869">
        <w:rPr>
          <w:rFonts w:ascii="Palatino Linotype" w:eastAsia="Times New Roman" w:hAnsi="Palatino Linotype" w:cs="Times New Roman"/>
          <w:color w:val="000000"/>
          <w:sz w:val="24"/>
          <w:szCs w:val="24"/>
          <w:lang w:eastAsia="en-GB"/>
        </w:rPr>
        <w:t xml:space="preserve"> of the references use </w:t>
      </w:r>
      <w:r w:rsidR="00867869">
        <w:rPr>
          <w:rFonts w:ascii="Palatino Linotype" w:eastAsia="Times New Roman" w:hAnsi="Palatino Linotype" w:cs="Times New Roman"/>
          <w:i/>
          <w:color w:val="000000"/>
          <w:sz w:val="24"/>
          <w:szCs w:val="24"/>
          <w:lang w:eastAsia="en-GB"/>
        </w:rPr>
        <w:t>Magna Charta</w:t>
      </w:r>
      <w:r w:rsidR="00867869">
        <w:rPr>
          <w:rFonts w:ascii="Palatino Linotype" w:eastAsia="Times New Roman" w:hAnsi="Palatino Linotype" w:cs="Times New Roman"/>
          <w:color w:val="000000"/>
          <w:sz w:val="24"/>
          <w:szCs w:val="24"/>
          <w:lang w:eastAsia="en-GB"/>
        </w:rPr>
        <w:t xml:space="preserve"> in this way to </w:t>
      </w:r>
      <w:r w:rsidR="00D33EDA">
        <w:rPr>
          <w:rFonts w:ascii="Palatino Linotype" w:eastAsia="Times New Roman" w:hAnsi="Palatino Linotype" w:cs="Times New Roman"/>
          <w:color w:val="000000"/>
          <w:sz w:val="24"/>
          <w:szCs w:val="24"/>
          <w:lang w:eastAsia="en-GB"/>
        </w:rPr>
        <w:t>reflect on its role in shaping British identity and history.</w:t>
      </w:r>
      <w:r w:rsidR="00D33EDA">
        <w:rPr>
          <w:rStyle w:val="FootnoteReference"/>
          <w:rFonts w:ascii="Palatino Linotype" w:eastAsia="Times New Roman" w:hAnsi="Palatino Linotype" w:cs="Times New Roman"/>
          <w:color w:val="000000"/>
          <w:sz w:val="24"/>
          <w:szCs w:val="24"/>
          <w:lang w:eastAsia="en-GB"/>
        </w:rPr>
        <w:footnoteReference w:id="5"/>
      </w:r>
    </w:p>
    <w:p w14:paraId="296583ED" w14:textId="77777777" w:rsidR="00513361" w:rsidRDefault="0056301C">
      <w:pPr>
        <w:rPr>
          <w:rFonts w:ascii="Palatino Linotype" w:hAnsi="Palatino Linotype"/>
          <w:sz w:val="24"/>
          <w:szCs w:val="24"/>
        </w:rPr>
      </w:pPr>
      <w:r>
        <w:rPr>
          <w:rFonts w:ascii="Palatino Linotype" w:hAnsi="Palatino Linotype"/>
          <w:i/>
          <w:sz w:val="24"/>
          <w:szCs w:val="24"/>
        </w:rPr>
        <w:t>Magna Charta</w:t>
      </w:r>
      <w:r>
        <w:rPr>
          <w:rFonts w:ascii="Palatino Linotype" w:hAnsi="Palatino Linotype"/>
          <w:sz w:val="24"/>
          <w:szCs w:val="24"/>
        </w:rPr>
        <w:t xml:space="preserve"> was not just invoked as the distant progenitor of </w:t>
      </w:r>
      <w:proofErr w:type="gramStart"/>
      <w:r>
        <w:rPr>
          <w:rFonts w:ascii="Palatino Linotype" w:hAnsi="Palatino Linotype"/>
          <w:sz w:val="24"/>
          <w:szCs w:val="24"/>
        </w:rPr>
        <w:t>constitution-making</w:t>
      </w:r>
      <w:proofErr w:type="gramEnd"/>
      <w:r>
        <w:rPr>
          <w:rFonts w:ascii="Palatino Linotype" w:hAnsi="Palatino Linotype"/>
          <w:sz w:val="24"/>
          <w:szCs w:val="24"/>
        </w:rPr>
        <w:t xml:space="preserve"> in debates on government legislation. It was raised by the Irish MP J. P. Boland in 1909 in presenting a petition on behalf of a Catholic school in Barnsley complaining about having to pay educational rates from which they derived no benefits, contrary to the no taxation without representation associated with </w:t>
      </w:r>
      <w:r>
        <w:rPr>
          <w:rFonts w:ascii="Palatino Linotype" w:hAnsi="Palatino Linotype"/>
          <w:i/>
          <w:sz w:val="24"/>
          <w:szCs w:val="24"/>
        </w:rPr>
        <w:t>Magna Charta</w:t>
      </w:r>
      <w:r>
        <w:rPr>
          <w:rFonts w:ascii="Palatino Linotype" w:hAnsi="Palatino Linotype"/>
          <w:sz w:val="24"/>
          <w:szCs w:val="24"/>
        </w:rPr>
        <w:t>.</w:t>
      </w:r>
      <w:r>
        <w:rPr>
          <w:rStyle w:val="FootnoteReference"/>
          <w:rFonts w:ascii="Palatino Linotype" w:hAnsi="Palatino Linotype"/>
          <w:sz w:val="24"/>
          <w:szCs w:val="24"/>
        </w:rPr>
        <w:footnoteReference w:id="6"/>
      </w:r>
      <w:r>
        <w:rPr>
          <w:rFonts w:ascii="Palatino Linotype" w:hAnsi="Palatino Linotype"/>
          <w:sz w:val="24"/>
          <w:szCs w:val="24"/>
        </w:rPr>
        <w:t xml:space="preserve"> </w:t>
      </w:r>
      <w:r w:rsidR="00005EC0">
        <w:rPr>
          <w:rFonts w:ascii="Palatino Linotype" w:hAnsi="Palatino Linotype"/>
          <w:sz w:val="24"/>
          <w:szCs w:val="24"/>
        </w:rPr>
        <w:t>This was, however, the only example of it being invoked in the prese</w:t>
      </w:r>
      <w:r w:rsidR="00513361">
        <w:rPr>
          <w:rFonts w:ascii="Palatino Linotype" w:hAnsi="Palatino Linotype"/>
          <w:sz w:val="24"/>
          <w:szCs w:val="24"/>
        </w:rPr>
        <w:t xml:space="preserve">ntation of a petition. </w:t>
      </w:r>
    </w:p>
    <w:p w14:paraId="3682D312" w14:textId="77777777" w:rsidR="0056301C" w:rsidRPr="00B96478" w:rsidRDefault="00513361">
      <w:pPr>
        <w:rPr>
          <w:rFonts w:ascii="Palatino Linotype" w:hAnsi="Palatino Linotype"/>
          <w:sz w:val="24"/>
          <w:szCs w:val="24"/>
        </w:rPr>
      </w:pPr>
      <w:r>
        <w:rPr>
          <w:rFonts w:ascii="Palatino Linotype" w:hAnsi="Palatino Linotype"/>
          <w:sz w:val="24"/>
          <w:szCs w:val="24"/>
        </w:rPr>
        <w:t xml:space="preserve">There were also only four occasions during 1900-14 when </w:t>
      </w:r>
      <w:r>
        <w:rPr>
          <w:rFonts w:ascii="Palatino Linotype" w:hAnsi="Palatino Linotype"/>
          <w:i/>
          <w:sz w:val="24"/>
          <w:szCs w:val="24"/>
        </w:rPr>
        <w:t>Magna Charta</w:t>
      </w:r>
      <w:r>
        <w:rPr>
          <w:rFonts w:ascii="Palatino Linotype" w:hAnsi="Palatino Linotype"/>
          <w:sz w:val="24"/>
          <w:szCs w:val="24"/>
        </w:rPr>
        <w:t xml:space="preserve"> was mentioned during Parliamentary Questions</w:t>
      </w:r>
      <w:r w:rsidR="00D660F8">
        <w:rPr>
          <w:rFonts w:ascii="Palatino Linotype" w:hAnsi="Palatino Linotype"/>
          <w:sz w:val="24"/>
          <w:szCs w:val="24"/>
        </w:rPr>
        <w:t xml:space="preserve"> as part of the process of holding the government to account</w:t>
      </w:r>
      <w:r>
        <w:rPr>
          <w:rFonts w:ascii="Palatino Linotype" w:hAnsi="Palatino Linotype"/>
          <w:sz w:val="24"/>
          <w:szCs w:val="24"/>
        </w:rPr>
        <w:t xml:space="preserve">. On each of these occasions, however, </w:t>
      </w:r>
      <w:r w:rsidR="00B96478">
        <w:rPr>
          <w:rFonts w:ascii="Palatino Linotype" w:hAnsi="Palatino Linotype"/>
          <w:sz w:val="24"/>
          <w:szCs w:val="24"/>
        </w:rPr>
        <w:t xml:space="preserve">it was used to raise specific concerns that provisions of </w:t>
      </w:r>
      <w:r w:rsidR="00B96478">
        <w:rPr>
          <w:rFonts w:ascii="Palatino Linotype" w:hAnsi="Palatino Linotype"/>
          <w:i/>
          <w:sz w:val="24"/>
          <w:szCs w:val="24"/>
        </w:rPr>
        <w:t>Magna Charta</w:t>
      </w:r>
      <w:r w:rsidR="00B96478">
        <w:rPr>
          <w:rFonts w:ascii="Palatino Linotype" w:hAnsi="Palatino Linotype"/>
          <w:sz w:val="24"/>
          <w:szCs w:val="24"/>
        </w:rPr>
        <w:t xml:space="preserve"> were being over-ridden in terms of taxation, the selling of justice or the right of petition. In other words, in Boland's petition and these questions </w:t>
      </w:r>
      <w:r w:rsidR="00B96478">
        <w:rPr>
          <w:rFonts w:ascii="Palatino Linotype" w:hAnsi="Palatino Linotype"/>
          <w:i/>
          <w:sz w:val="24"/>
          <w:szCs w:val="24"/>
        </w:rPr>
        <w:t>Magna Charta</w:t>
      </w:r>
      <w:r w:rsidR="00B96478">
        <w:rPr>
          <w:rFonts w:ascii="Palatino Linotype" w:hAnsi="Palatino Linotype"/>
          <w:sz w:val="24"/>
          <w:szCs w:val="24"/>
        </w:rPr>
        <w:t xml:space="preserve"> was invoked as a legal text used to challenge the government of the day for failing to abide by its provisions. For instance, </w:t>
      </w:r>
      <w:proofErr w:type="gramStart"/>
      <w:r w:rsidR="00B96478">
        <w:rPr>
          <w:rFonts w:ascii="Palatino Linotype" w:hAnsi="Palatino Linotype"/>
          <w:sz w:val="24"/>
          <w:szCs w:val="24"/>
        </w:rPr>
        <w:t xml:space="preserve">the right of petition was invoked in the first use of </w:t>
      </w:r>
      <w:r w:rsidR="00B96478">
        <w:rPr>
          <w:rFonts w:ascii="Palatino Linotype" w:hAnsi="Palatino Linotype"/>
          <w:i/>
          <w:sz w:val="24"/>
          <w:szCs w:val="24"/>
        </w:rPr>
        <w:t>Magna Charta</w:t>
      </w:r>
      <w:r w:rsidR="00B96478">
        <w:rPr>
          <w:rFonts w:ascii="Palatino Linotype" w:hAnsi="Palatino Linotype"/>
          <w:sz w:val="24"/>
          <w:szCs w:val="24"/>
        </w:rPr>
        <w:t xml:space="preserve"> by a </w:t>
      </w:r>
      <w:r w:rsidR="00B96478">
        <w:rPr>
          <w:rFonts w:ascii="Palatino Linotype" w:hAnsi="Palatino Linotype"/>
          <w:sz w:val="24"/>
          <w:szCs w:val="24"/>
        </w:rPr>
        <w:lastRenderedPageBreak/>
        <w:t>Labour MP</w:t>
      </w:r>
      <w:proofErr w:type="gramEnd"/>
      <w:r w:rsidR="00B96478">
        <w:rPr>
          <w:rFonts w:ascii="Palatino Linotype" w:hAnsi="Palatino Linotype"/>
          <w:sz w:val="24"/>
          <w:szCs w:val="24"/>
        </w:rPr>
        <w:t xml:space="preserve"> when </w:t>
      </w:r>
      <w:proofErr w:type="spellStart"/>
      <w:r w:rsidR="00B96478">
        <w:rPr>
          <w:rFonts w:ascii="Palatino Linotype" w:hAnsi="Palatino Linotype"/>
          <w:sz w:val="24"/>
          <w:szCs w:val="24"/>
        </w:rPr>
        <w:t>Keir</w:t>
      </w:r>
      <w:proofErr w:type="spellEnd"/>
      <w:r w:rsidR="00B96478">
        <w:rPr>
          <w:rFonts w:ascii="Palatino Linotype" w:hAnsi="Palatino Linotype"/>
          <w:sz w:val="24"/>
          <w:szCs w:val="24"/>
        </w:rPr>
        <w:t xml:space="preserve"> </w:t>
      </w:r>
      <w:proofErr w:type="spellStart"/>
      <w:r w:rsidR="00B96478">
        <w:rPr>
          <w:rFonts w:ascii="Palatino Linotype" w:hAnsi="Palatino Linotype"/>
          <w:sz w:val="24"/>
          <w:szCs w:val="24"/>
        </w:rPr>
        <w:t>Hardie</w:t>
      </w:r>
      <w:proofErr w:type="spellEnd"/>
      <w:r w:rsidR="00B96478">
        <w:rPr>
          <w:rFonts w:ascii="Palatino Linotype" w:hAnsi="Palatino Linotype"/>
          <w:sz w:val="24"/>
          <w:szCs w:val="24"/>
        </w:rPr>
        <w:t xml:space="preserve"> asked about this right for a deputation of suffragettes in 1909.</w:t>
      </w:r>
      <w:r w:rsidR="00B96478">
        <w:rPr>
          <w:rStyle w:val="FootnoteReference"/>
          <w:rFonts w:ascii="Palatino Linotype" w:hAnsi="Palatino Linotype"/>
          <w:sz w:val="24"/>
          <w:szCs w:val="24"/>
        </w:rPr>
        <w:footnoteReference w:id="7"/>
      </w:r>
    </w:p>
    <w:p w14:paraId="53E82750" w14:textId="77777777" w:rsidR="000B430F" w:rsidRPr="006E3D73" w:rsidRDefault="00972DE4">
      <w:pPr>
        <w:rPr>
          <w:rFonts w:ascii="Palatino Linotype" w:hAnsi="Palatino Linotype"/>
          <w:sz w:val="24"/>
          <w:szCs w:val="24"/>
        </w:rPr>
      </w:pPr>
      <w:r>
        <w:rPr>
          <w:rFonts w:ascii="Palatino Linotype" w:hAnsi="Palatino Linotype"/>
          <w:i/>
          <w:sz w:val="24"/>
          <w:szCs w:val="24"/>
        </w:rPr>
        <w:t>Magna Charta</w:t>
      </w:r>
      <w:r>
        <w:rPr>
          <w:rFonts w:ascii="Palatino Linotype" w:hAnsi="Palatino Linotype"/>
          <w:sz w:val="24"/>
          <w:szCs w:val="24"/>
        </w:rPr>
        <w:t xml:space="preserve"> could also be used in this way in the majority of settings in which it was invoked, debates usually on government bills, either on the floor of the House of Commons or Lords or during the committee stages of a bill. </w:t>
      </w:r>
      <w:r w:rsidR="00EF2679">
        <w:rPr>
          <w:rFonts w:ascii="Palatino Linotype" w:hAnsi="Palatino Linotype"/>
          <w:sz w:val="24"/>
          <w:szCs w:val="24"/>
        </w:rPr>
        <w:t xml:space="preserve">Its usage, however, depended upon the </w:t>
      </w:r>
      <w:r w:rsidR="0051641C">
        <w:rPr>
          <w:rFonts w:ascii="Palatino Linotype" w:hAnsi="Palatino Linotype"/>
          <w:sz w:val="24"/>
          <w:szCs w:val="24"/>
        </w:rPr>
        <w:t>values parliamentarians</w:t>
      </w:r>
      <w:r w:rsidR="007C5E5F">
        <w:rPr>
          <w:rFonts w:ascii="Palatino Linotype" w:hAnsi="Palatino Linotype"/>
          <w:sz w:val="24"/>
          <w:szCs w:val="24"/>
        </w:rPr>
        <w:t xml:space="preserve"> choose to invest it with</w:t>
      </w:r>
      <w:r w:rsidR="00EF2679">
        <w:rPr>
          <w:rFonts w:ascii="Palatino Linotype" w:hAnsi="Palatino Linotype"/>
          <w:sz w:val="24"/>
          <w:szCs w:val="24"/>
        </w:rPr>
        <w:t xml:space="preserve"> and</w:t>
      </w:r>
      <w:r w:rsidR="007C5E5F">
        <w:rPr>
          <w:rFonts w:ascii="Palatino Linotype" w:hAnsi="Palatino Linotype"/>
          <w:sz w:val="24"/>
          <w:szCs w:val="24"/>
        </w:rPr>
        <w:t xml:space="preserve"> the context in which they sought to invoke it.</w:t>
      </w:r>
      <w:r w:rsidR="0051641C">
        <w:rPr>
          <w:rFonts w:ascii="Palatino Linotype" w:hAnsi="Palatino Linotype"/>
          <w:sz w:val="24"/>
          <w:szCs w:val="24"/>
        </w:rPr>
        <w:t xml:space="preserve"> </w:t>
      </w:r>
      <w:r w:rsidR="009F11D5">
        <w:rPr>
          <w:rFonts w:ascii="Palatino Linotype" w:hAnsi="Palatino Linotype"/>
          <w:sz w:val="24"/>
          <w:szCs w:val="24"/>
        </w:rPr>
        <w:t>Often</w:t>
      </w:r>
      <w:r w:rsidR="00CF0EA0">
        <w:rPr>
          <w:rFonts w:ascii="Palatino Linotype" w:hAnsi="Palatino Linotype"/>
          <w:sz w:val="24"/>
          <w:szCs w:val="24"/>
        </w:rPr>
        <w:t xml:space="preserve"> it was referenced</w:t>
      </w:r>
      <w:r w:rsidR="0051641C">
        <w:rPr>
          <w:rFonts w:ascii="Palatino Linotype" w:hAnsi="Palatino Linotype"/>
          <w:sz w:val="24"/>
          <w:szCs w:val="24"/>
        </w:rPr>
        <w:t xml:space="preserve"> </w:t>
      </w:r>
      <w:r w:rsidR="009F11D5">
        <w:rPr>
          <w:rFonts w:ascii="Palatino Linotype" w:hAnsi="Palatino Linotype"/>
          <w:sz w:val="24"/>
          <w:szCs w:val="24"/>
        </w:rPr>
        <w:t xml:space="preserve">simply in passing </w:t>
      </w:r>
      <w:r w:rsidR="0051641C">
        <w:rPr>
          <w:rFonts w:ascii="Palatino Linotype" w:hAnsi="Palatino Linotype"/>
          <w:sz w:val="24"/>
          <w:szCs w:val="24"/>
        </w:rPr>
        <w:t>as a familiar term, helping to frame either a sense of h</w:t>
      </w:r>
      <w:r w:rsidR="009F11D5">
        <w:rPr>
          <w:rFonts w:ascii="Palatino Linotype" w:hAnsi="Palatino Linotype"/>
          <w:sz w:val="24"/>
          <w:szCs w:val="24"/>
        </w:rPr>
        <w:t xml:space="preserve">istoric rights and/or identity, without being central to the argument being adumbrated. It was also used on a number of occasions in a very different sense as an analogy. </w:t>
      </w:r>
      <w:r w:rsidR="009F11D5">
        <w:rPr>
          <w:rFonts w:ascii="Palatino Linotype" w:hAnsi="Palatino Linotype"/>
          <w:i/>
          <w:sz w:val="24"/>
          <w:szCs w:val="24"/>
        </w:rPr>
        <w:t>Magna Charta</w:t>
      </w:r>
      <w:r w:rsidR="009F11D5">
        <w:rPr>
          <w:rFonts w:ascii="Palatino Linotype" w:hAnsi="Palatino Linotype"/>
          <w:sz w:val="24"/>
          <w:szCs w:val="24"/>
        </w:rPr>
        <w:t xml:space="preserve"> was </w:t>
      </w:r>
      <w:r w:rsidR="00CF0EA0">
        <w:rPr>
          <w:rFonts w:ascii="Palatino Linotype" w:hAnsi="Palatino Linotype"/>
          <w:sz w:val="24"/>
          <w:szCs w:val="24"/>
        </w:rPr>
        <w:t>in these</w:t>
      </w:r>
      <w:r w:rsidR="009F11D5">
        <w:rPr>
          <w:rFonts w:ascii="Palatino Linotype" w:hAnsi="Palatino Linotype"/>
          <w:sz w:val="24"/>
          <w:szCs w:val="24"/>
        </w:rPr>
        <w:t xml:space="preserve"> portrayed (somewhat misleadingly) as an exemplary concordat between contracting parties</w:t>
      </w:r>
      <w:r w:rsidR="00CF0EA0">
        <w:rPr>
          <w:rFonts w:ascii="Palatino Linotype" w:hAnsi="Palatino Linotype"/>
          <w:sz w:val="24"/>
          <w:szCs w:val="24"/>
        </w:rPr>
        <w:t>:</w:t>
      </w:r>
      <w:r w:rsidR="009F11D5">
        <w:rPr>
          <w:rFonts w:ascii="Palatino Linotype" w:hAnsi="Palatino Linotype"/>
          <w:sz w:val="24"/>
          <w:szCs w:val="24"/>
        </w:rPr>
        <w:t xml:space="preserve"> for instance, </w:t>
      </w:r>
      <w:r w:rsidR="00CF0EA0">
        <w:rPr>
          <w:rFonts w:ascii="Palatino Linotype" w:hAnsi="Palatino Linotype"/>
          <w:sz w:val="24"/>
          <w:szCs w:val="24"/>
        </w:rPr>
        <w:t xml:space="preserve">when </w:t>
      </w:r>
      <w:r w:rsidR="009F11D5">
        <w:rPr>
          <w:rFonts w:ascii="Palatino Linotype" w:hAnsi="Palatino Linotype"/>
          <w:sz w:val="24"/>
          <w:szCs w:val="24"/>
        </w:rPr>
        <w:t>the Highways Act 1896 was referred to as 'the Magna Charta for motorists'.</w:t>
      </w:r>
      <w:r w:rsidR="009F11D5">
        <w:rPr>
          <w:rStyle w:val="FootnoteReference"/>
          <w:rFonts w:ascii="Palatino Linotype" w:hAnsi="Palatino Linotype"/>
          <w:sz w:val="24"/>
          <w:szCs w:val="24"/>
        </w:rPr>
        <w:footnoteReference w:id="8"/>
      </w:r>
      <w:r w:rsidR="00B71B52">
        <w:rPr>
          <w:rFonts w:ascii="Palatino Linotype" w:hAnsi="Palatino Linotype"/>
          <w:sz w:val="24"/>
          <w:szCs w:val="24"/>
        </w:rPr>
        <w:t xml:space="preserve"> </w:t>
      </w:r>
      <w:r w:rsidR="00B65CEB">
        <w:rPr>
          <w:rFonts w:ascii="Palatino Linotype" w:hAnsi="Palatino Linotype"/>
          <w:sz w:val="24"/>
          <w:szCs w:val="24"/>
        </w:rPr>
        <w:t xml:space="preserve">Churchill's first parliamentary invocation of </w:t>
      </w:r>
      <w:r w:rsidR="00B65CEB">
        <w:rPr>
          <w:rFonts w:ascii="Palatino Linotype" w:hAnsi="Palatino Linotype"/>
          <w:i/>
          <w:sz w:val="24"/>
          <w:szCs w:val="24"/>
        </w:rPr>
        <w:t>Magna Charta</w:t>
      </w:r>
      <w:r w:rsidR="00B65CEB">
        <w:rPr>
          <w:rFonts w:ascii="Palatino Linotype" w:hAnsi="Palatino Linotype"/>
          <w:sz w:val="24"/>
          <w:szCs w:val="24"/>
        </w:rPr>
        <w:t xml:space="preserve"> was in the same vein</w:t>
      </w:r>
      <w:r w:rsidR="00CF0EA0">
        <w:rPr>
          <w:rFonts w:ascii="Palatino Linotype" w:hAnsi="Palatino Linotype"/>
          <w:sz w:val="24"/>
          <w:szCs w:val="24"/>
        </w:rPr>
        <w:t xml:space="preserve"> when he proclaimed</w:t>
      </w:r>
      <w:r w:rsidR="00B65CEB">
        <w:rPr>
          <w:rFonts w:ascii="Palatino Linotype" w:hAnsi="Palatino Linotype"/>
          <w:sz w:val="24"/>
          <w:szCs w:val="24"/>
        </w:rPr>
        <w:t xml:space="preserve"> in the aftermath of the South Af</w:t>
      </w:r>
      <w:r w:rsidR="00CF0EA0">
        <w:rPr>
          <w:rFonts w:ascii="Palatino Linotype" w:hAnsi="Palatino Linotype"/>
          <w:sz w:val="24"/>
          <w:szCs w:val="24"/>
        </w:rPr>
        <w:t xml:space="preserve">rican war in 1902 </w:t>
      </w:r>
      <w:r w:rsidR="00B65CEB">
        <w:rPr>
          <w:rFonts w:ascii="Palatino Linotype" w:hAnsi="Palatino Linotype"/>
          <w:sz w:val="24"/>
          <w:szCs w:val="24"/>
        </w:rPr>
        <w:t xml:space="preserve">his hopes for </w:t>
      </w:r>
      <w:r w:rsidR="00B65CEB" w:rsidRPr="00B65CEB">
        <w:rPr>
          <w:rFonts w:ascii="Palatino Linotype" w:hAnsi="Palatino Linotype"/>
          <w:sz w:val="24"/>
          <w:szCs w:val="24"/>
        </w:rPr>
        <w:t>'</w:t>
      </w:r>
      <w:r w:rsidR="00B65CEB" w:rsidRPr="00B65CEB">
        <w:rPr>
          <w:rFonts w:ascii="Palatino Linotype" w:hAnsi="Palatino Linotype"/>
          <w:color w:val="000000"/>
          <w:sz w:val="24"/>
          <w:szCs w:val="24"/>
        </w:rPr>
        <w:t>a military compact or treaty between those fighting on either side, which should be to the Boers a Magna Charta, and to the British the title deeds of the country</w:t>
      </w:r>
      <w:r w:rsidR="00B65CEB">
        <w:rPr>
          <w:rFonts w:ascii="Palatino Linotype" w:hAnsi="Palatino Linotype"/>
          <w:color w:val="000000"/>
          <w:sz w:val="24"/>
          <w:szCs w:val="24"/>
        </w:rPr>
        <w:t>.'</w:t>
      </w:r>
      <w:r w:rsidR="00B65CEB">
        <w:rPr>
          <w:rStyle w:val="FootnoteReference"/>
          <w:rFonts w:ascii="Palatino Linotype" w:hAnsi="Palatino Linotype"/>
          <w:color w:val="000000"/>
          <w:sz w:val="24"/>
          <w:szCs w:val="24"/>
        </w:rPr>
        <w:footnoteReference w:id="9"/>
      </w:r>
      <w:r w:rsidR="006E3D73">
        <w:rPr>
          <w:rFonts w:ascii="Palatino Linotype" w:hAnsi="Palatino Linotype"/>
          <w:color w:val="000000"/>
          <w:sz w:val="24"/>
          <w:szCs w:val="24"/>
        </w:rPr>
        <w:t xml:space="preserve"> </w:t>
      </w:r>
      <w:r w:rsidR="00B71B52">
        <w:rPr>
          <w:rFonts w:ascii="Palatino Linotype" w:hAnsi="Palatino Linotype"/>
          <w:sz w:val="24"/>
          <w:szCs w:val="24"/>
        </w:rPr>
        <w:t>Similarly a whole range of arrangements, from education reforms in India</w:t>
      </w:r>
      <w:r w:rsidR="00F03851">
        <w:rPr>
          <w:rFonts w:ascii="Palatino Linotype" w:hAnsi="Palatino Linotype"/>
          <w:sz w:val="24"/>
          <w:szCs w:val="24"/>
        </w:rPr>
        <w:t xml:space="preserve"> through the creation of parish councils</w:t>
      </w:r>
      <w:r w:rsidR="00B71B52">
        <w:rPr>
          <w:rFonts w:ascii="Palatino Linotype" w:hAnsi="Palatino Linotype"/>
          <w:sz w:val="24"/>
          <w:szCs w:val="24"/>
        </w:rPr>
        <w:t xml:space="preserve"> to agreements with the National Telephone Company could improbably be invoked as</w:t>
      </w:r>
      <w:r w:rsidR="00883E55">
        <w:rPr>
          <w:rFonts w:ascii="Palatino Linotype" w:hAnsi="Palatino Linotype"/>
          <w:sz w:val="24"/>
          <w:szCs w:val="24"/>
        </w:rPr>
        <w:t xml:space="preserve"> examples of a latter-day </w:t>
      </w:r>
      <w:r w:rsidR="00883E55">
        <w:rPr>
          <w:rFonts w:ascii="Palatino Linotype" w:hAnsi="Palatino Linotype"/>
          <w:i/>
          <w:sz w:val="24"/>
          <w:szCs w:val="24"/>
        </w:rPr>
        <w:t>Magna Charta</w:t>
      </w:r>
      <w:r w:rsidR="00883E55">
        <w:rPr>
          <w:rFonts w:ascii="Palatino Linotype" w:hAnsi="Palatino Linotype"/>
          <w:sz w:val="24"/>
          <w:szCs w:val="24"/>
        </w:rPr>
        <w:t xml:space="preserve">. </w:t>
      </w:r>
      <w:r w:rsidR="006E3D73">
        <w:rPr>
          <w:rFonts w:ascii="Palatino Linotype" w:hAnsi="Palatino Linotype"/>
          <w:sz w:val="24"/>
          <w:szCs w:val="24"/>
        </w:rPr>
        <w:t xml:space="preserve">This was </w:t>
      </w:r>
      <w:r w:rsidR="006E3D73">
        <w:rPr>
          <w:rFonts w:ascii="Palatino Linotype" w:hAnsi="Palatino Linotype"/>
          <w:i/>
          <w:sz w:val="24"/>
          <w:szCs w:val="24"/>
        </w:rPr>
        <w:t>Magna Charta</w:t>
      </w:r>
      <w:r w:rsidR="006E3D73">
        <w:rPr>
          <w:rFonts w:ascii="Palatino Linotype" w:hAnsi="Palatino Linotype"/>
          <w:sz w:val="24"/>
          <w:szCs w:val="24"/>
        </w:rPr>
        <w:t xml:space="preserve"> understood </w:t>
      </w:r>
      <w:r w:rsidR="00A06C31">
        <w:rPr>
          <w:rFonts w:ascii="Palatino Linotype" w:hAnsi="Palatino Linotype"/>
          <w:sz w:val="24"/>
          <w:szCs w:val="24"/>
        </w:rPr>
        <w:t>analogously</w:t>
      </w:r>
      <w:r w:rsidR="006E3D73">
        <w:rPr>
          <w:rFonts w:ascii="Palatino Linotype" w:hAnsi="Palatino Linotype"/>
          <w:sz w:val="24"/>
          <w:szCs w:val="24"/>
        </w:rPr>
        <w:t xml:space="preserve"> as a </w:t>
      </w:r>
      <w:r w:rsidR="00F03851">
        <w:rPr>
          <w:rFonts w:ascii="Palatino Linotype" w:hAnsi="Palatino Linotype"/>
          <w:sz w:val="24"/>
          <w:szCs w:val="24"/>
        </w:rPr>
        <w:t xml:space="preserve">foundational </w:t>
      </w:r>
      <w:r w:rsidR="006E3D73">
        <w:rPr>
          <w:rFonts w:ascii="Palatino Linotype" w:hAnsi="Palatino Linotype"/>
          <w:sz w:val="24"/>
          <w:szCs w:val="24"/>
        </w:rPr>
        <w:t>deal which gave enough to each side to be workable.</w:t>
      </w:r>
    </w:p>
    <w:p w14:paraId="0C3916BC" w14:textId="77777777" w:rsidR="00EE1321" w:rsidRPr="00EE1321" w:rsidRDefault="0017209D" w:rsidP="0076073C">
      <w:pPr>
        <w:pStyle w:val="first-para"/>
        <w:spacing w:line="336" w:lineRule="atLeast"/>
        <w:rPr>
          <w:rFonts w:ascii="Palatino Linotype" w:hAnsi="Palatino Linotype"/>
          <w:color w:val="000000"/>
        </w:rPr>
      </w:pPr>
      <w:r>
        <w:rPr>
          <w:rFonts w:ascii="Palatino Linotype" w:hAnsi="Palatino Linotype"/>
        </w:rPr>
        <w:t xml:space="preserve">The other main way in which </w:t>
      </w:r>
      <w:r w:rsidR="00883E55">
        <w:rPr>
          <w:rFonts w:ascii="Palatino Linotype" w:hAnsi="Palatino Linotype"/>
          <w:i/>
        </w:rPr>
        <w:t>Magna Charta</w:t>
      </w:r>
      <w:r w:rsidR="00883E55">
        <w:rPr>
          <w:rFonts w:ascii="Palatino Linotype" w:hAnsi="Palatino Linotype"/>
        </w:rPr>
        <w:t xml:space="preserve"> was referred to </w:t>
      </w:r>
      <w:proofErr w:type="gramStart"/>
      <w:r>
        <w:rPr>
          <w:rFonts w:ascii="Palatino Linotype" w:hAnsi="Palatino Linotype"/>
        </w:rPr>
        <w:t>was</w:t>
      </w:r>
      <w:proofErr w:type="gramEnd"/>
      <w:r>
        <w:rPr>
          <w:rFonts w:ascii="Palatino Linotype" w:hAnsi="Palatino Linotype"/>
        </w:rPr>
        <w:t xml:space="preserve"> </w:t>
      </w:r>
      <w:r w:rsidR="00883E55">
        <w:rPr>
          <w:rFonts w:ascii="Palatino Linotype" w:hAnsi="Palatino Linotype"/>
        </w:rPr>
        <w:t xml:space="preserve">in terms of legal rights, often in ways which implied that these rights were being undermined. </w:t>
      </w:r>
      <w:r w:rsidR="00CF62A6">
        <w:rPr>
          <w:rFonts w:ascii="Palatino Linotype" w:hAnsi="Palatino Linotype"/>
        </w:rPr>
        <w:t xml:space="preserve">For instance, in the brief debates allowed on the Official Secrets Bill in 1911 the Liberal MP Sir Alpheus </w:t>
      </w:r>
      <w:r w:rsidR="00CF62A6" w:rsidRPr="00CF62A6">
        <w:rPr>
          <w:rFonts w:ascii="Palatino Linotype" w:hAnsi="Palatino Linotype"/>
        </w:rPr>
        <w:t>Morton complained 'It upsets Magna Charta altogether'. Protesting vehemently against the provision in S.2 of that legislation that '</w:t>
      </w:r>
      <w:r w:rsidR="00CF62A6" w:rsidRPr="00CF62A6">
        <w:rPr>
          <w:rFonts w:ascii="Palatino Linotype" w:hAnsi="Palatino Linotype"/>
          <w:color w:val="000000"/>
        </w:rPr>
        <w:t xml:space="preserve">it shall not be necessary to show that the accused person was guilty of any particular act tending to show a purpose prejudicial to the safety or interests of the State', </w:t>
      </w:r>
      <w:r w:rsidR="00CF62A6">
        <w:rPr>
          <w:rFonts w:ascii="Palatino Linotype" w:hAnsi="Palatino Linotype"/>
          <w:color w:val="000000"/>
        </w:rPr>
        <w:t xml:space="preserve">his fellow Liberal, the newspaper </w:t>
      </w:r>
      <w:r w:rsidR="00CF62A6" w:rsidRPr="00EE1321">
        <w:rPr>
          <w:rFonts w:ascii="Palatino Linotype" w:hAnsi="Palatino Linotype"/>
          <w:color w:val="000000"/>
        </w:rPr>
        <w:t xml:space="preserve">proprietor Sir William </w:t>
      </w:r>
      <w:proofErr w:type="spellStart"/>
      <w:r w:rsidR="00CF62A6" w:rsidRPr="00EE1321">
        <w:rPr>
          <w:rFonts w:ascii="Palatino Linotype" w:hAnsi="Palatino Linotype"/>
          <w:color w:val="000000"/>
        </w:rPr>
        <w:t>Byles</w:t>
      </w:r>
      <w:proofErr w:type="spellEnd"/>
      <w:r w:rsidR="00CF62A6" w:rsidRPr="00EE1321">
        <w:rPr>
          <w:rFonts w:ascii="Palatino Linotype" w:hAnsi="Palatino Linotype"/>
          <w:color w:val="000000"/>
        </w:rPr>
        <w:t xml:space="preserve">, </w:t>
      </w:r>
      <w:r w:rsidR="00EE1321" w:rsidRPr="00EE1321">
        <w:rPr>
          <w:rFonts w:ascii="Palatino Linotype" w:hAnsi="Palatino Linotype"/>
          <w:color w:val="000000"/>
        </w:rPr>
        <w:t xml:space="preserve">used </w:t>
      </w:r>
      <w:r w:rsidR="00EE1321" w:rsidRPr="00EE1321">
        <w:rPr>
          <w:rFonts w:ascii="Palatino Linotype" w:hAnsi="Palatino Linotype"/>
          <w:i/>
          <w:color w:val="000000"/>
        </w:rPr>
        <w:t>Magna Charta</w:t>
      </w:r>
      <w:r w:rsidR="00EE1321" w:rsidRPr="00EE1321">
        <w:rPr>
          <w:rFonts w:ascii="Palatino Linotype" w:hAnsi="Palatino Linotype"/>
          <w:color w:val="000000"/>
        </w:rPr>
        <w:t xml:space="preserve"> to argue 'that no Member of this House ought to vote for a Bill which contains those words.</w:t>
      </w:r>
      <w:r w:rsidR="00EE1321">
        <w:rPr>
          <w:rFonts w:ascii="Palatino Linotype" w:hAnsi="Palatino Linotype"/>
          <w:color w:val="000000"/>
        </w:rPr>
        <w:t>'</w:t>
      </w:r>
      <w:r w:rsidR="00EE1321">
        <w:rPr>
          <w:rStyle w:val="FootnoteReference"/>
          <w:rFonts w:ascii="Palatino Linotype" w:hAnsi="Palatino Linotype"/>
          <w:color w:val="000000"/>
        </w:rPr>
        <w:footnoteReference w:id="10"/>
      </w:r>
    </w:p>
    <w:p w14:paraId="0529E8A4" w14:textId="77777777" w:rsidR="00883E55" w:rsidRDefault="00B65CEB">
      <w:pPr>
        <w:rPr>
          <w:rFonts w:ascii="Palatino Linotype" w:hAnsi="Palatino Linotype"/>
          <w:color w:val="000000"/>
          <w:sz w:val="24"/>
          <w:szCs w:val="24"/>
        </w:rPr>
      </w:pPr>
      <w:r>
        <w:rPr>
          <w:rFonts w:ascii="Palatino Linotype" w:hAnsi="Palatino Linotype"/>
          <w:sz w:val="24"/>
          <w:szCs w:val="24"/>
        </w:rPr>
        <w:lastRenderedPageBreak/>
        <w:t xml:space="preserve">Most of his fellow Liberal MPs, however, loyally supported this legislation. </w:t>
      </w:r>
      <w:r w:rsidR="006D757E">
        <w:rPr>
          <w:rFonts w:ascii="Palatino Linotype" w:hAnsi="Palatino Linotype"/>
          <w:sz w:val="24"/>
          <w:szCs w:val="24"/>
        </w:rPr>
        <w:t xml:space="preserve">This was not the only occasion on which </w:t>
      </w:r>
      <w:r w:rsidR="006D757E">
        <w:rPr>
          <w:rFonts w:ascii="Palatino Linotype" w:hAnsi="Palatino Linotype"/>
          <w:i/>
          <w:sz w:val="24"/>
          <w:szCs w:val="24"/>
        </w:rPr>
        <w:t>Magna Charta</w:t>
      </w:r>
      <w:r w:rsidR="006D757E">
        <w:rPr>
          <w:rFonts w:ascii="Palatino Linotype" w:hAnsi="Palatino Linotype"/>
          <w:sz w:val="24"/>
          <w:szCs w:val="24"/>
        </w:rPr>
        <w:t xml:space="preserve"> feature</w:t>
      </w:r>
      <w:r w:rsidR="0076073C">
        <w:rPr>
          <w:rFonts w:ascii="Palatino Linotype" w:hAnsi="Palatino Linotype"/>
          <w:sz w:val="24"/>
          <w:szCs w:val="24"/>
        </w:rPr>
        <w:t>d</w:t>
      </w:r>
      <w:r w:rsidR="006D757E">
        <w:rPr>
          <w:rFonts w:ascii="Palatino Linotype" w:hAnsi="Palatino Linotype"/>
          <w:sz w:val="24"/>
          <w:szCs w:val="24"/>
        </w:rPr>
        <w:t xml:space="preserve"> in an intra-party dispute between Liberal MPs and their government. The Liberal barrister, F. C. </w:t>
      </w:r>
      <w:proofErr w:type="spellStart"/>
      <w:r w:rsidR="006D757E">
        <w:rPr>
          <w:rFonts w:ascii="Palatino Linotype" w:hAnsi="Palatino Linotype"/>
          <w:sz w:val="24"/>
          <w:szCs w:val="24"/>
        </w:rPr>
        <w:t>Mackarness</w:t>
      </w:r>
      <w:proofErr w:type="spellEnd"/>
      <w:r w:rsidR="006D757E">
        <w:rPr>
          <w:rFonts w:ascii="Palatino Linotype" w:hAnsi="Palatino Linotype"/>
          <w:sz w:val="24"/>
          <w:szCs w:val="24"/>
        </w:rPr>
        <w:t xml:space="preserve">, complaining of the detention or deportation without charge on hearsay evidence of various political activists in India invoked not only </w:t>
      </w:r>
      <w:r w:rsidR="006D757E">
        <w:rPr>
          <w:rFonts w:ascii="Palatino Linotype" w:hAnsi="Palatino Linotype"/>
          <w:i/>
          <w:sz w:val="24"/>
          <w:szCs w:val="24"/>
        </w:rPr>
        <w:t>Magna Charta</w:t>
      </w:r>
      <w:r w:rsidR="006D757E">
        <w:rPr>
          <w:rFonts w:ascii="Palatino Linotype" w:hAnsi="Palatino Linotype"/>
          <w:sz w:val="24"/>
          <w:szCs w:val="24"/>
        </w:rPr>
        <w:t xml:space="preserve"> </w:t>
      </w:r>
      <w:proofErr w:type="gramStart"/>
      <w:r w:rsidR="006D757E">
        <w:rPr>
          <w:rFonts w:ascii="Palatino Linotype" w:hAnsi="Palatino Linotype"/>
          <w:sz w:val="24"/>
          <w:szCs w:val="24"/>
        </w:rPr>
        <w:t>but</w:t>
      </w:r>
      <w:proofErr w:type="gramEnd"/>
      <w:r w:rsidR="006D757E">
        <w:rPr>
          <w:rFonts w:ascii="Palatino Linotype" w:hAnsi="Palatino Linotype"/>
          <w:sz w:val="24"/>
          <w:szCs w:val="24"/>
        </w:rPr>
        <w:t xml:space="preserve"> </w:t>
      </w:r>
      <w:r w:rsidR="0076073C">
        <w:rPr>
          <w:rFonts w:ascii="Palatino Linotype" w:hAnsi="Palatino Linotype"/>
          <w:sz w:val="24"/>
          <w:szCs w:val="24"/>
        </w:rPr>
        <w:t>the emperor Trajan's law of 102</w:t>
      </w:r>
      <w:r w:rsidR="006D757E">
        <w:rPr>
          <w:rFonts w:ascii="Palatino Linotype" w:hAnsi="Palatino Linotype"/>
          <w:sz w:val="24"/>
          <w:szCs w:val="24"/>
        </w:rPr>
        <w:t xml:space="preserve">. </w:t>
      </w:r>
      <w:r w:rsidR="00882F47">
        <w:rPr>
          <w:rFonts w:ascii="Palatino Linotype" w:hAnsi="Palatino Linotype"/>
          <w:sz w:val="24"/>
          <w:szCs w:val="24"/>
        </w:rPr>
        <w:t xml:space="preserve">In response, the Under-Secretary of State for India Thomas Buchanan referred to </w:t>
      </w:r>
      <w:r w:rsidR="00882F47" w:rsidRPr="00882F47">
        <w:rPr>
          <w:rFonts w:ascii="Palatino Linotype" w:hAnsi="Palatino Linotype"/>
          <w:sz w:val="24"/>
          <w:szCs w:val="24"/>
        </w:rPr>
        <w:t xml:space="preserve">backbench talk of </w:t>
      </w:r>
      <w:r w:rsidR="00882F47" w:rsidRPr="00882F47">
        <w:rPr>
          <w:rFonts w:ascii="Palatino Linotype" w:hAnsi="Palatino Linotype"/>
          <w:i/>
          <w:sz w:val="24"/>
          <w:szCs w:val="24"/>
        </w:rPr>
        <w:t>Magna Charta</w:t>
      </w:r>
      <w:r w:rsidR="00882F47" w:rsidRPr="00882F47">
        <w:rPr>
          <w:rFonts w:ascii="Palatino Linotype" w:hAnsi="Palatino Linotype"/>
          <w:sz w:val="24"/>
          <w:szCs w:val="24"/>
        </w:rPr>
        <w:t xml:space="preserve"> as an ideal, but </w:t>
      </w:r>
      <w:r w:rsidR="00882F47">
        <w:rPr>
          <w:rFonts w:ascii="Palatino Linotype" w:hAnsi="Palatino Linotype"/>
          <w:sz w:val="24"/>
          <w:szCs w:val="24"/>
        </w:rPr>
        <w:t>'</w:t>
      </w:r>
      <w:r w:rsidR="00882F47" w:rsidRPr="00882F47">
        <w:rPr>
          <w:rFonts w:ascii="Palatino Linotype" w:hAnsi="Palatino Linotype"/>
          <w:color w:val="000000"/>
          <w:sz w:val="24"/>
          <w:szCs w:val="24"/>
        </w:rPr>
        <w:t>in the practical work of government, especially a Government such as our Government of India, emergencies will arise, difficult emergencies, in which theories and ideals have to be put on one side</w:t>
      </w:r>
      <w:r w:rsidR="00882F47">
        <w:rPr>
          <w:rFonts w:ascii="Palatino Linotype" w:hAnsi="Palatino Linotype"/>
          <w:color w:val="000000"/>
          <w:sz w:val="24"/>
          <w:szCs w:val="24"/>
        </w:rPr>
        <w:t>.'</w:t>
      </w:r>
      <w:r w:rsidR="00882F47">
        <w:rPr>
          <w:rStyle w:val="FootnoteReference"/>
          <w:rFonts w:ascii="Palatino Linotype" w:hAnsi="Palatino Linotype"/>
          <w:color w:val="000000"/>
          <w:sz w:val="24"/>
          <w:szCs w:val="24"/>
        </w:rPr>
        <w:footnoteReference w:id="11"/>
      </w:r>
    </w:p>
    <w:p w14:paraId="33CE93DA" w14:textId="77777777" w:rsidR="00A30E05" w:rsidRDefault="00A06C31">
      <w:pPr>
        <w:rPr>
          <w:rFonts w:ascii="Palatino Linotype" w:hAnsi="Palatino Linotype"/>
          <w:color w:val="000000"/>
          <w:sz w:val="24"/>
          <w:szCs w:val="24"/>
        </w:rPr>
      </w:pPr>
      <w:r>
        <w:rPr>
          <w:rFonts w:ascii="Palatino Linotype" w:hAnsi="Palatino Linotype"/>
          <w:sz w:val="24"/>
          <w:szCs w:val="24"/>
        </w:rPr>
        <w:t xml:space="preserve">It was not that those in government were necessarily less apt to mention </w:t>
      </w:r>
      <w:r>
        <w:rPr>
          <w:rFonts w:ascii="Palatino Linotype" w:hAnsi="Palatino Linotype"/>
          <w:i/>
          <w:sz w:val="24"/>
          <w:szCs w:val="24"/>
        </w:rPr>
        <w:t>Magna Charta</w:t>
      </w:r>
      <w:r w:rsidR="00092065">
        <w:rPr>
          <w:rFonts w:ascii="Palatino Linotype" w:hAnsi="Palatino Linotype"/>
          <w:sz w:val="24"/>
          <w:szCs w:val="24"/>
        </w:rPr>
        <w:t xml:space="preserve">, </w:t>
      </w:r>
      <w:r>
        <w:rPr>
          <w:rFonts w:ascii="Palatino Linotype" w:hAnsi="Palatino Linotype"/>
          <w:sz w:val="24"/>
          <w:szCs w:val="24"/>
        </w:rPr>
        <w:t xml:space="preserve">but they tended to use it in different ways. Most of the Conservative references to it before they lost power in December 1905 were as an analogous concordat, a deal through which power was responsibly exercised and delegated. </w:t>
      </w:r>
      <w:r w:rsidR="00047013">
        <w:rPr>
          <w:rFonts w:ascii="Palatino Linotype" w:hAnsi="Palatino Linotype"/>
          <w:sz w:val="24"/>
          <w:szCs w:val="24"/>
        </w:rPr>
        <w:t>It was only after they went into opposition that they began using the term in ways more critical of government</w:t>
      </w:r>
      <w:r w:rsidR="00092065">
        <w:rPr>
          <w:rFonts w:ascii="Palatino Linotype" w:hAnsi="Palatino Linotype"/>
          <w:sz w:val="24"/>
          <w:szCs w:val="24"/>
        </w:rPr>
        <w:t>. This was</w:t>
      </w:r>
      <w:r w:rsidR="00047013">
        <w:rPr>
          <w:rFonts w:ascii="Palatino Linotype" w:hAnsi="Palatino Linotype"/>
          <w:sz w:val="24"/>
          <w:szCs w:val="24"/>
        </w:rPr>
        <w:t xml:space="preserve"> particularly </w:t>
      </w:r>
      <w:r w:rsidR="00092065">
        <w:rPr>
          <w:rFonts w:ascii="Palatino Linotype" w:hAnsi="Palatino Linotype"/>
          <w:sz w:val="24"/>
          <w:szCs w:val="24"/>
        </w:rPr>
        <w:t>during the Parliament Bill debates, but there was also a change in tone in respect to</w:t>
      </w:r>
      <w:r w:rsidR="00047013">
        <w:rPr>
          <w:rFonts w:ascii="Palatino Linotype" w:hAnsi="Palatino Linotype"/>
          <w:sz w:val="24"/>
          <w:szCs w:val="24"/>
        </w:rPr>
        <w:t xml:space="preserve"> financ</w:t>
      </w:r>
      <w:r w:rsidR="00092065">
        <w:rPr>
          <w:rFonts w:ascii="Palatino Linotype" w:hAnsi="Palatino Linotype"/>
          <w:sz w:val="24"/>
          <w:szCs w:val="24"/>
        </w:rPr>
        <w:t>ial issues</w:t>
      </w:r>
      <w:r w:rsidR="00047013">
        <w:rPr>
          <w:rFonts w:ascii="Palatino Linotype" w:hAnsi="Palatino Linotype"/>
          <w:sz w:val="24"/>
          <w:szCs w:val="24"/>
        </w:rPr>
        <w:t xml:space="preserve">. Thus alterations to income tax were criticised in 1913 by </w:t>
      </w:r>
      <w:r w:rsidR="00047013" w:rsidRPr="00047013">
        <w:rPr>
          <w:rFonts w:ascii="Palatino Linotype" w:hAnsi="Palatino Linotype"/>
          <w:sz w:val="24"/>
          <w:szCs w:val="24"/>
        </w:rPr>
        <w:t xml:space="preserve">the Tory lawyer, Sir William </w:t>
      </w:r>
      <w:proofErr w:type="spellStart"/>
      <w:r w:rsidR="00047013" w:rsidRPr="00047013">
        <w:rPr>
          <w:rFonts w:ascii="Palatino Linotype" w:hAnsi="Palatino Linotype"/>
          <w:sz w:val="24"/>
          <w:szCs w:val="24"/>
        </w:rPr>
        <w:t>Joynson</w:t>
      </w:r>
      <w:proofErr w:type="spellEnd"/>
      <w:r w:rsidR="00047013" w:rsidRPr="00047013">
        <w:rPr>
          <w:rFonts w:ascii="Palatino Linotype" w:hAnsi="Palatino Linotype"/>
          <w:sz w:val="24"/>
          <w:szCs w:val="24"/>
        </w:rPr>
        <w:t xml:space="preserve">-Hicks, on the grounds that </w:t>
      </w:r>
      <w:r w:rsidR="00047013">
        <w:rPr>
          <w:rFonts w:ascii="Palatino Linotype" w:hAnsi="Palatino Linotype"/>
          <w:sz w:val="24"/>
          <w:szCs w:val="24"/>
        </w:rPr>
        <w:t>'</w:t>
      </w:r>
      <w:r w:rsidR="00047013" w:rsidRPr="00047013">
        <w:rPr>
          <w:rFonts w:ascii="Palatino Linotype" w:hAnsi="Palatino Linotype"/>
          <w:color w:val="000000"/>
          <w:sz w:val="24"/>
          <w:szCs w:val="24"/>
        </w:rPr>
        <w:t>our primary object in coming here is to stand up for the rights of the subject against the Crown. That is clearly the first reason why Parliaments were instituted, in order to gradually curb and fetter the strong</w:t>
      </w:r>
      <w:proofErr w:type="gramStart"/>
      <w:r w:rsidR="00047013">
        <w:rPr>
          <w:rFonts w:ascii="Palatino Linotype" w:hAnsi="Palatino Linotype"/>
          <w:color w:val="000000"/>
          <w:sz w:val="24"/>
          <w:szCs w:val="24"/>
        </w:rPr>
        <w:t>....</w:t>
      </w:r>
      <w:r w:rsidR="00047013" w:rsidRPr="00047013">
        <w:rPr>
          <w:rFonts w:ascii="Palatino Linotype" w:hAnsi="Palatino Linotype"/>
          <w:color w:val="000000"/>
          <w:sz w:val="24"/>
          <w:szCs w:val="24"/>
        </w:rPr>
        <w:t>That</w:t>
      </w:r>
      <w:proofErr w:type="gramEnd"/>
      <w:r w:rsidR="00047013" w:rsidRPr="00047013">
        <w:rPr>
          <w:rFonts w:ascii="Palatino Linotype" w:hAnsi="Palatino Linotype"/>
          <w:color w:val="000000"/>
          <w:sz w:val="24"/>
          <w:szCs w:val="24"/>
        </w:rPr>
        <w:t xml:space="preserve"> is how all the liberties of the subject were gradually gained from the days of Magna Charta and of Ship Money and of the Bill of Rights and so forth</w:t>
      </w:r>
      <w:r w:rsidR="00047013">
        <w:rPr>
          <w:rFonts w:ascii="Palatino Linotype" w:hAnsi="Palatino Linotype"/>
          <w:color w:val="000000"/>
          <w:sz w:val="24"/>
          <w:szCs w:val="24"/>
        </w:rPr>
        <w:t>.'</w:t>
      </w:r>
      <w:r w:rsidR="00047013">
        <w:rPr>
          <w:rStyle w:val="FootnoteReference"/>
          <w:rFonts w:ascii="Palatino Linotype" w:hAnsi="Palatino Linotype"/>
          <w:color w:val="000000"/>
          <w:sz w:val="24"/>
          <w:szCs w:val="24"/>
        </w:rPr>
        <w:footnoteReference w:id="12"/>
      </w:r>
      <w:r w:rsidR="00A30E05">
        <w:rPr>
          <w:rFonts w:ascii="Palatino Linotype" w:hAnsi="Palatino Linotype"/>
          <w:color w:val="000000"/>
          <w:sz w:val="24"/>
          <w:szCs w:val="24"/>
        </w:rPr>
        <w:t xml:space="preserve"> </w:t>
      </w:r>
      <w:r w:rsidR="00A30E05">
        <w:rPr>
          <w:rFonts w:ascii="Palatino Linotype" w:hAnsi="Palatino Linotype"/>
          <w:i/>
          <w:color w:val="000000"/>
          <w:sz w:val="24"/>
          <w:szCs w:val="24"/>
        </w:rPr>
        <w:t>Magna Charta</w:t>
      </w:r>
      <w:r w:rsidR="00A30E05">
        <w:rPr>
          <w:rFonts w:ascii="Palatino Linotype" w:hAnsi="Palatino Linotype"/>
          <w:color w:val="000000"/>
          <w:sz w:val="24"/>
          <w:szCs w:val="24"/>
        </w:rPr>
        <w:t xml:space="preserve"> in other words, could </w:t>
      </w:r>
      <w:r w:rsidR="002D3D86">
        <w:rPr>
          <w:rFonts w:ascii="Palatino Linotype" w:hAnsi="Palatino Linotype"/>
          <w:color w:val="000000"/>
          <w:sz w:val="24"/>
          <w:szCs w:val="24"/>
        </w:rPr>
        <w:t>easily serve as</w:t>
      </w:r>
      <w:r w:rsidR="00A30E05">
        <w:rPr>
          <w:rFonts w:ascii="Palatino Linotype" w:hAnsi="Palatino Linotype"/>
          <w:color w:val="000000"/>
          <w:sz w:val="24"/>
          <w:szCs w:val="24"/>
        </w:rPr>
        <w:t xml:space="preserve"> a rhetorical stick with which to beat ministers. An example is the way the Tory Earl Stanhope raised the forthcoming 700th anniversary during the 1914 Lords debate on the Address to suggest that such a great change to the Constitution as the Irish Home Rule Bill should be submitted to a referendum as a curb on executive power.</w:t>
      </w:r>
      <w:r w:rsidR="00A30E05">
        <w:rPr>
          <w:rStyle w:val="FootnoteReference"/>
          <w:rFonts w:ascii="Palatino Linotype" w:hAnsi="Palatino Linotype"/>
          <w:color w:val="000000"/>
          <w:sz w:val="24"/>
          <w:szCs w:val="24"/>
        </w:rPr>
        <w:footnoteReference w:id="13"/>
      </w:r>
      <w:r w:rsidR="00A30E05">
        <w:rPr>
          <w:rFonts w:ascii="Palatino Linotype" w:hAnsi="Palatino Linotype"/>
          <w:color w:val="000000"/>
          <w:sz w:val="24"/>
          <w:szCs w:val="24"/>
        </w:rPr>
        <w:t xml:space="preserve"> </w:t>
      </w:r>
    </w:p>
    <w:p w14:paraId="170AD57C" w14:textId="77777777" w:rsidR="00092065" w:rsidRPr="00376D0D" w:rsidRDefault="007B3819" w:rsidP="00092065">
      <w:pPr>
        <w:rPr>
          <w:rStyle w:val="apple-converted-space"/>
          <w:rFonts w:ascii="Palatino Linotype" w:hAnsi="Palatino Linotype"/>
          <w:color w:val="000000"/>
          <w:sz w:val="24"/>
          <w:szCs w:val="24"/>
        </w:rPr>
      </w:pPr>
      <w:r w:rsidRPr="00092065">
        <w:rPr>
          <w:rFonts w:ascii="Palatino Linotype" w:hAnsi="Palatino Linotype"/>
          <w:color w:val="000000"/>
          <w:sz w:val="24"/>
          <w:szCs w:val="24"/>
        </w:rPr>
        <w:t xml:space="preserve">Ireland was one of the recurrent </w:t>
      </w:r>
      <w:r w:rsidR="00092065" w:rsidRPr="00092065">
        <w:rPr>
          <w:rFonts w:ascii="Palatino Linotype" w:hAnsi="Palatino Linotype"/>
          <w:color w:val="000000"/>
          <w:sz w:val="24"/>
          <w:szCs w:val="24"/>
        </w:rPr>
        <w:t xml:space="preserve">contexts in which </w:t>
      </w:r>
      <w:r w:rsidR="00092065" w:rsidRPr="00092065">
        <w:rPr>
          <w:rFonts w:ascii="Palatino Linotype" w:hAnsi="Palatino Linotype"/>
          <w:i/>
          <w:color w:val="000000"/>
          <w:sz w:val="24"/>
          <w:szCs w:val="24"/>
        </w:rPr>
        <w:t>Magna Charta</w:t>
      </w:r>
      <w:r w:rsidR="00092065" w:rsidRPr="00092065">
        <w:rPr>
          <w:rFonts w:ascii="Palatino Linotype" w:hAnsi="Palatino Linotype"/>
          <w:color w:val="000000"/>
          <w:sz w:val="24"/>
          <w:szCs w:val="24"/>
        </w:rPr>
        <w:t xml:space="preserve"> was invoked. At the start of the century the leader of the Irish Home Rulers, John Redmond, pointed out that 'The principle underlying trial by jury is as old as Magna Charta, and is now in </w:t>
      </w:r>
      <w:r w:rsidR="00092065" w:rsidRPr="00092065">
        <w:rPr>
          <w:rFonts w:ascii="Palatino Linotype" w:hAnsi="Palatino Linotype"/>
          <w:color w:val="000000"/>
          <w:sz w:val="24"/>
          <w:szCs w:val="24"/>
        </w:rPr>
        <w:lastRenderedPageBreak/>
        <w:t>vogue, in one form or another, in most civilised countries in the world.</w:t>
      </w:r>
      <w:r w:rsidR="00092065">
        <w:rPr>
          <w:rFonts w:ascii="Palatino Linotype" w:hAnsi="Palatino Linotype"/>
          <w:color w:val="000000"/>
          <w:sz w:val="24"/>
          <w:szCs w:val="24"/>
        </w:rPr>
        <w:t>'</w:t>
      </w:r>
      <w:r w:rsidR="00092065">
        <w:rPr>
          <w:rStyle w:val="FootnoteReference"/>
          <w:rFonts w:ascii="Palatino Linotype" w:hAnsi="Palatino Linotype"/>
          <w:color w:val="000000"/>
          <w:sz w:val="24"/>
          <w:szCs w:val="24"/>
        </w:rPr>
        <w:footnoteReference w:id="14"/>
      </w:r>
      <w:r w:rsidR="00092065" w:rsidRPr="00092065">
        <w:rPr>
          <w:rStyle w:val="apple-converted-space"/>
          <w:rFonts w:ascii="Palatino Linotype" w:hAnsi="Palatino Linotype"/>
          <w:color w:val="000000"/>
          <w:sz w:val="24"/>
          <w:szCs w:val="24"/>
        </w:rPr>
        <w:t> </w:t>
      </w:r>
      <w:r w:rsidR="00376D0D">
        <w:rPr>
          <w:rStyle w:val="apple-converted-space"/>
          <w:rFonts w:ascii="Palatino Linotype" w:hAnsi="Palatino Linotype"/>
          <w:color w:val="000000"/>
          <w:sz w:val="24"/>
          <w:szCs w:val="24"/>
        </w:rPr>
        <w:t xml:space="preserve">As far as this provision was concerned, however, as one of his parliamentary colleagues </w:t>
      </w:r>
      <w:r w:rsidR="00376D0D" w:rsidRPr="00376D0D">
        <w:rPr>
          <w:rStyle w:val="apple-converted-space"/>
          <w:rFonts w:ascii="Palatino Linotype" w:hAnsi="Palatino Linotype"/>
          <w:color w:val="000000"/>
          <w:sz w:val="24"/>
          <w:szCs w:val="24"/>
        </w:rPr>
        <w:t>reminded the House the following year '</w:t>
      </w:r>
      <w:r w:rsidR="00376D0D" w:rsidRPr="00376D0D">
        <w:rPr>
          <w:rFonts w:ascii="Palatino Linotype" w:hAnsi="Palatino Linotype"/>
          <w:color w:val="000000"/>
          <w:sz w:val="24"/>
          <w:szCs w:val="24"/>
        </w:rPr>
        <w:t>for all practical purposes in Ireland the word "Magna Charta" had never existed</w:t>
      </w:r>
      <w:r w:rsidR="00376D0D">
        <w:rPr>
          <w:rFonts w:ascii="Palatino Linotype" w:hAnsi="Palatino Linotype"/>
          <w:color w:val="000000"/>
          <w:sz w:val="24"/>
          <w:szCs w:val="24"/>
        </w:rPr>
        <w:t>'.</w:t>
      </w:r>
      <w:r w:rsidR="00376D0D">
        <w:rPr>
          <w:rStyle w:val="FootnoteReference"/>
          <w:rFonts w:ascii="Palatino Linotype" w:hAnsi="Palatino Linotype"/>
          <w:color w:val="000000"/>
          <w:sz w:val="24"/>
          <w:szCs w:val="24"/>
        </w:rPr>
        <w:footnoteReference w:id="15"/>
      </w:r>
      <w:r w:rsidR="00D519D1">
        <w:rPr>
          <w:rFonts w:ascii="Palatino Linotype" w:hAnsi="Palatino Linotype"/>
          <w:color w:val="000000"/>
          <w:sz w:val="24"/>
          <w:szCs w:val="24"/>
        </w:rPr>
        <w:t xml:space="preserve"> </w:t>
      </w:r>
    </w:p>
    <w:p w14:paraId="15ACADDF" w14:textId="77777777" w:rsidR="007B3819" w:rsidRPr="00035D41" w:rsidRDefault="00D519D1">
      <w:pPr>
        <w:rPr>
          <w:rFonts w:ascii="Palatino Linotype" w:hAnsi="Palatino Linotype"/>
          <w:color w:val="000000"/>
          <w:sz w:val="24"/>
          <w:szCs w:val="24"/>
        </w:rPr>
      </w:pPr>
      <w:r>
        <w:rPr>
          <w:rFonts w:ascii="Palatino Linotype" w:hAnsi="Palatino Linotype"/>
          <w:color w:val="000000"/>
          <w:sz w:val="24"/>
          <w:szCs w:val="24"/>
        </w:rPr>
        <w:t xml:space="preserve">After 1910 Redmond's party was much less inclined to mention </w:t>
      </w:r>
      <w:r>
        <w:rPr>
          <w:rFonts w:ascii="Palatino Linotype" w:hAnsi="Palatino Linotype"/>
          <w:i/>
          <w:color w:val="000000"/>
          <w:sz w:val="24"/>
          <w:szCs w:val="24"/>
        </w:rPr>
        <w:t>Magna Charta</w:t>
      </w:r>
      <w:r>
        <w:rPr>
          <w:rFonts w:ascii="Palatino Linotype" w:hAnsi="Palatino Linotype"/>
          <w:color w:val="000000"/>
          <w:sz w:val="24"/>
          <w:szCs w:val="24"/>
        </w:rPr>
        <w:t xml:space="preserve"> and disrupt efforts to pass Home Rule for Ireland. It was the Tories who repeatedly brought it up </w:t>
      </w:r>
      <w:r w:rsidR="00035D41">
        <w:rPr>
          <w:rFonts w:ascii="Palatino Linotype" w:hAnsi="Palatino Linotype"/>
          <w:color w:val="000000"/>
          <w:sz w:val="24"/>
          <w:szCs w:val="24"/>
        </w:rPr>
        <w:t xml:space="preserve">in the debates in 1912, attempting in vain to reinstate for a Home-Rule Ireland the protections for religious equality based upon </w:t>
      </w:r>
      <w:r w:rsidR="00035D41">
        <w:rPr>
          <w:rFonts w:ascii="Palatino Linotype" w:hAnsi="Palatino Linotype"/>
          <w:i/>
          <w:color w:val="000000"/>
          <w:sz w:val="24"/>
          <w:szCs w:val="24"/>
        </w:rPr>
        <w:t xml:space="preserve">Magna </w:t>
      </w:r>
      <w:proofErr w:type="gramStart"/>
      <w:r w:rsidR="00035D41">
        <w:rPr>
          <w:rFonts w:ascii="Palatino Linotype" w:hAnsi="Palatino Linotype"/>
          <w:i/>
          <w:color w:val="000000"/>
          <w:sz w:val="24"/>
          <w:szCs w:val="24"/>
        </w:rPr>
        <w:t>Charta</w:t>
      </w:r>
      <w:r w:rsidR="00035D41">
        <w:rPr>
          <w:rFonts w:ascii="Palatino Linotype" w:hAnsi="Palatino Linotype"/>
          <w:color w:val="000000"/>
          <w:sz w:val="24"/>
          <w:szCs w:val="24"/>
        </w:rPr>
        <w:t xml:space="preserve"> which</w:t>
      </w:r>
      <w:proofErr w:type="gramEnd"/>
      <w:r w:rsidR="00035D41">
        <w:rPr>
          <w:rFonts w:ascii="Palatino Linotype" w:hAnsi="Palatino Linotype"/>
          <w:color w:val="000000"/>
          <w:sz w:val="24"/>
          <w:szCs w:val="24"/>
        </w:rPr>
        <w:t xml:space="preserve"> had appeared in Gladstone's 1893 Bill. In doing so they </w:t>
      </w:r>
      <w:r w:rsidR="00F934FE">
        <w:rPr>
          <w:rFonts w:ascii="Palatino Linotype" w:hAnsi="Palatino Linotype"/>
          <w:color w:val="000000"/>
          <w:sz w:val="24"/>
          <w:szCs w:val="24"/>
        </w:rPr>
        <w:t xml:space="preserve">reflected Gladstone's own use of </w:t>
      </w:r>
      <w:r w:rsidR="00F934FE" w:rsidRPr="00F934FE">
        <w:rPr>
          <w:rFonts w:ascii="Palatino Linotype" w:hAnsi="Palatino Linotype"/>
          <w:color w:val="000000"/>
          <w:sz w:val="24"/>
          <w:szCs w:val="24"/>
        </w:rPr>
        <w:t>the term in those debates, in which he spoke of his Bill as 'a portion of the Magna Char</w:t>
      </w:r>
      <w:r w:rsidR="002D3D86">
        <w:rPr>
          <w:rFonts w:ascii="Palatino Linotype" w:hAnsi="Palatino Linotype"/>
          <w:color w:val="000000"/>
          <w:sz w:val="24"/>
          <w:szCs w:val="24"/>
        </w:rPr>
        <w:t>ta of the Irish Legislature, [which]</w:t>
      </w:r>
      <w:r w:rsidR="00F934FE" w:rsidRPr="00F934FE">
        <w:rPr>
          <w:rFonts w:ascii="Palatino Linotype" w:hAnsi="Palatino Linotype"/>
          <w:color w:val="000000"/>
          <w:sz w:val="24"/>
          <w:szCs w:val="24"/>
        </w:rPr>
        <w:t xml:space="preserve"> cannot be abrogated by anything that the Irish Legislature may do.</w:t>
      </w:r>
      <w:r w:rsidR="00F934FE">
        <w:rPr>
          <w:rFonts w:ascii="Palatino Linotype" w:hAnsi="Palatino Linotype"/>
          <w:color w:val="000000"/>
          <w:sz w:val="24"/>
          <w:szCs w:val="24"/>
        </w:rPr>
        <w:t>'</w:t>
      </w:r>
      <w:r w:rsidR="00AB0B24">
        <w:rPr>
          <w:rStyle w:val="FootnoteReference"/>
          <w:rFonts w:ascii="Palatino Linotype" w:hAnsi="Palatino Linotype"/>
          <w:color w:val="000000"/>
          <w:sz w:val="24"/>
          <w:szCs w:val="24"/>
        </w:rPr>
        <w:footnoteReference w:id="16"/>
      </w:r>
      <w:r w:rsidR="00F934FE" w:rsidRPr="00F934FE">
        <w:rPr>
          <w:rFonts w:ascii="Palatino Linotype" w:hAnsi="Palatino Linotype"/>
          <w:color w:val="000000"/>
          <w:sz w:val="24"/>
          <w:szCs w:val="24"/>
        </w:rPr>
        <w:t xml:space="preserve"> In the process they</w:t>
      </w:r>
      <w:r w:rsidR="00F934FE">
        <w:rPr>
          <w:rFonts w:ascii="Palatino Linotype" w:hAnsi="Palatino Linotype"/>
          <w:color w:val="000000"/>
          <w:sz w:val="24"/>
          <w:szCs w:val="24"/>
        </w:rPr>
        <w:t xml:space="preserve"> followed Gladstone in </w:t>
      </w:r>
      <w:r w:rsidR="00035D41">
        <w:rPr>
          <w:rFonts w:ascii="Palatino Linotype" w:hAnsi="Palatino Linotype"/>
          <w:color w:val="000000"/>
          <w:sz w:val="24"/>
          <w:szCs w:val="24"/>
        </w:rPr>
        <w:t>impl</w:t>
      </w:r>
      <w:r w:rsidR="00F934FE">
        <w:rPr>
          <w:rFonts w:ascii="Palatino Linotype" w:hAnsi="Palatino Linotype"/>
          <w:color w:val="000000"/>
          <w:sz w:val="24"/>
          <w:szCs w:val="24"/>
        </w:rPr>
        <w:t>ying</w:t>
      </w:r>
      <w:r w:rsidR="00035D41">
        <w:rPr>
          <w:rFonts w:ascii="Palatino Linotype" w:hAnsi="Palatino Linotype"/>
          <w:color w:val="000000"/>
          <w:sz w:val="24"/>
          <w:szCs w:val="24"/>
        </w:rPr>
        <w:t xml:space="preserve"> that </w:t>
      </w:r>
      <w:r w:rsidR="00035D41">
        <w:rPr>
          <w:rFonts w:ascii="Palatino Linotype" w:hAnsi="Palatino Linotype"/>
          <w:i/>
          <w:color w:val="000000"/>
          <w:sz w:val="24"/>
          <w:szCs w:val="24"/>
        </w:rPr>
        <w:t>Magna Charta</w:t>
      </w:r>
      <w:r w:rsidR="00035D41">
        <w:rPr>
          <w:rFonts w:ascii="Palatino Linotype" w:hAnsi="Palatino Linotype"/>
          <w:color w:val="000000"/>
          <w:sz w:val="24"/>
          <w:szCs w:val="24"/>
        </w:rPr>
        <w:t xml:space="preserve"> was not only a foundational piece of law, but also - despite Asquith's views - a fundamental one, arguing that otherwise it was open to the future Irish parliament '</w:t>
      </w:r>
      <w:r w:rsidR="00035D41" w:rsidRPr="00035D41">
        <w:rPr>
          <w:rFonts w:ascii="Palatino Linotype" w:hAnsi="Palatino Linotype"/>
          <w:color w:val="000000"/>
          <w:sz w:val="24"/>
          <w:szCs w:val="24"/>
        </w:rPr>
        <w:t>to interfere with life, liberty, or property outside the ordinary course of law</w:t>
      </w:r>
      <w:r w:rsidR="00035D41">
        <w:rPr>
          <w:rFonts w:ascii="Palatino Linotype" w:hAnsi="Palatino Linotype"/>
          <w:color w:val="000000"/>
          <w:sz w:val="24"/>
          <w:szCs w:val="24"/>
        </w:rPr>
        <w:t>.'</w:t>
      </w:r>
      <w:r w:rsidR="008A2A72">
        <w:rPr>
          <w:rStyle w:val="FootnoteReference"/>
          <w:rFonts w:ascii="Palatino Linotype" w:hAnsi="Palatino Linotype"/>
          <w:color w:val="000000"/>
          <w:sz w:val="24"/>
          <w:szCs w:val="24"/>
        </w:rPr>
        <w:footnoteReference w:id="17"/>
      </w:r>
      <w:r w:rsidR="00365EAE">
        <w:rPr>
          <w:rFonts w:ascii="Palatino Linotype" w:hAnsi="Palatino Linotype"/>
          <w:color w:val="000000"/>
          <w:sz w:val="24"/>
          <w:szCs w:val="24"/>
        </w:rPr>
        <w:t xml:space="preserve"> </w:t>
      </w:r>
      <w:r w:rsidR="00F934FE">
        <w:rPr>
          <w:rFonts w:ascii="Palatino Linotype" w:hAnsi="Palatino Linotype"/>
          <w:color w:val="000000"/>
          <w:sz w:val="24"/>
          <w:szCs w:val="24"/>
        </w:rPr>
        <w:t xml:space="preserve">This, however, was not a </w:t>
      </w:r>
      <w:proofErr w:type="gramStart"/>
      <w:r w:rsidR="00F934FE">
        <w:rPr>
          <w:rFonts w:ascii="Palatino Linotype" w:hAnsi="Palatino Linotype"/>
          <w:color w:val="000000"/>
          <w:sz w:val="24"/>
          <w:szCs w:val="24"/>
        </w:rPr>
        <w:t>view which</w:t>
      </w:r>
      <w:proofErr w:type="gramEnd"/>
      <w:r w:rsidR="00F934FE">
        <w:rPr>
          <w:rFonts w:ascii="Palatino Linotype" w:hAnsi="Palatino Linotype"/>
          <w:color w:val="000000"/>
          <w:sz w:val="24"/>
          <w:szCs w:val="24"/>
        </w:rPr>
        <w:t xml:space="preserve"> commended itself to Gladstone's heirs in the Liberal government steering through the 1912 legislation.</w:t>
      </w:r>
    </w:p>
    <w:p w14:paraId="1C9703DA" w14:textId="77777777" w:rsidR="009056DA" w:rsidRDefault="00365EAE">
      <w:pPr>
        <w:rPr>
          <w:rFonts w:ascii="Palatino Linotype" w:hAnsi="Palatino Linotype"/>
          <w:color w:val="000000"/>
          <w:sz w:val="24"/>
          <w:szCs w:val="24"/>
        </w:rPr>
      </w:pPr>
      <w:r>
        <w:rPr>
          <w:rFonts w:ascii="Palatino Linotype" w:hAnsi="Palatino Linotype"/>
          <w:color w:val="000000"/>
          <w:sz w:val="24"/>
          <w:szCs w:val="24"/>
        </w:rPr>
        <w:t xml:space="preserve">As is shown in Tables 1 and 2, all parties were thus inclined from time to time to use </w:t>
      </w:r>
      <w:r>
        <w:rPr>
          <w:rFonts w:ascii="Palatino Linotype" w:hAnsi="Palatino Linotype"/>
          <w:i/>
          <w:color w:val="000000"/>
          <w:sz w:val="24"/>
          <w:szCs w:val="24"/>
        </w:rPr>
        <w:t>Magna Charta</w:t>
      </w:r>
      <w:r w:rsidR="002D3D86">
        <w:rPr>
          <w:rFonts w:ascii="Palatino Linotype" w:hAnsi="Palatino Linotype"/>
          <w:color w:val="000000"/>
          <w:sz w:val="24"/>
          <w:szCs w:val="24"/>
        </w:rPr>
        <w:t>, including for their own political purposes.</w:t>
      </w:r>
      <w:r w:rsidR="00F934FE">
        <w:rPr>
          <w:rFonts w:ascii="Palatino Linotype" w:hAnsi="Palatino Linotype"/>
          <w:color w:val="000000"/>
          <w:sz w:val="24"/>
          <w:szCs w:val="24"/>
        </w:rPr>
        <w:t xml:space="preserve"> Many of the re</w:t>
      </w:r>
      <w:r w:rsidR="0097690D">
        <w:rPr>
          <w:rFonts w:ascii="Palatino Linotype" w:hAnsi="Palatino Linotype"/>
          <w:color w:val="000000"/>
          <w:sz w:val="24"/>
          <w:szCs w:val="24"/>
        </w:rPr>
        <w:t>ferences to it were allusive and largely rhetorical</w:t>
      </w:r>
      <w:r w:rsidR="00C55210">
        <w:rPr>
          <w:rFonts w:ascii="Palatino Linotype" w:hAnsi="Palatino Linotype"/>
          <w:color w:val="000000"/>
          <w:sz w:val="24"/>
          <w:szCs w:val="24"/>
        </w:rPr>
        <w:t>. Yet certain themes recur in its usage during th</w:t>
      </w:r>
      <w:r w:rsidR="002D3D86">
        <w:rPr>
          <w:rFonts w:ascii="Palatino Linotype" w:hAnsi="Palatino Linotype"/>
          <w:color w:val="000000"/>
          <w:sz w:val="24"/>
          <w:szCs w:val="24"/>
        </w:rPr>
        <w:t>e period. Domestically it was deploy</w:t>
      </w:r>
      <w:r w:rsidR="00C55210">
        <w:rPr>
          <w:rFonts w:ascii="Palatino Linotype" w:hAnsi="Palatino Linotype"/>
          <w:color w:val="000000"/>
          <w:sz w:val="24"/>
          <w:szCs w:val="24"/>
        </w:rPr>
        <w:t xml:space="preserve">ed to critique an over-mighty executive, particularly in areas of constitutional, legal and financial procedures. This usage reflects an understanding, seemingly shared by all parties, that </w:t>
      </w:r>
      <w:r w:rsidR="00C55210">
        <w:rPr>
          <w:rFonts w:ascii="Palatino Linotype" w:hAnsi="Palatino Linotype"/>
          <w:i/>
          <w:color w:val="000000"/>
          <w:sz w:val="24"/>
          <w:szCs w:val="24"/>
        </w:rPr>
        <w:t>Magna Charta</w:t>
      </w:r>
      <w:r w:rsidR="00C55210">
        <w:rPr>
          <w:rFonts w:ascii="Palatino Linotype" w:hAnsi="Palatino Linotype"/>
          <w:color w:val="000000"/>
          <w:sz w:val="24"/>
          <w:szCs w:val="24"/>
        </w:rPr>
        <w:t xml:space="preserve"> may not have had a fundamental status, but it did, alongside various other provisions such as the Bill of Rights, have a special one. That it was rarely discussed in detail</w:t>
      </w:r>
      <w:r w:rsidR="007933E8">
        <w:rPr>
          <w:rFonts w:ascii="Palatino Linotype" w:hAnsi="Palatino Linotype"/>
          <w:color w:val="000000"/>
          <w:sz w:val="24"/>
          <w:szCs w:val="24"/>
        </w:rPr>
        <w:t xml:space="preserve"> and was all too often somewhat incidental to the subject of the debate</w:t>
      </w:r>
      <w:r w:rsidR="00C55210">
        <w:rPr>
          <w:rFonts w:ascii="Palatino Linotype" w:hAnsi="Palatino Linotype"/>
          <w:color w:val="000000"/>
          <w:sz w:val="24"/>
          <w:szCs w:val="24"/>
        </w:rPr>
        <w:t xml:space="preserve"> does not indicate a lack of importance. Indeed, its importance in part lay in that it was treated as important, generally understood as some kind of foundational </w:t>
      </w:r>
      <w:proofErr w:type="gramStart"/>
      <w:r w:rsidR="00C55210">
        <w:rPr>
          <w:rFonts w:ascii="Palatino Linotype" w:hAnsi="Palatino Linotype"/>
          <w:color w:val="000000"/>
          <w:sz w:val="24"/>
          <w:szCs w:val="24"/>
        </w:rPr>
        <w:t>document which</w:t>
      </w:r>
      <w:proofErr w:type="gramEnd"/>
      <w:r w:rsidR="00C55210">
        <w:rPr>
          <w:rFonts w:ascii="Palatino Linotype" w:hAnsi="Palatino Linotype"/>
          <w:color w:val="000000"/>
          <w:sz w:val="24"/>
          <w:szCs w:val="24"/>
        </w:rPr>
        <w:t xml:space="preserve"> </w:t>
      </w:r>
      <w:r w:rsidR="0097690D">
        <w:rPr>
          <w:rFonts w:ascii="Palatino Linotype" w:hAnsi="Palatino Linotype"/>
          <w:color w:val="000000"/>
          <w:sz w:val="24"/>
          <w:szCs w:val="24"/>
        </w:rPr>
        <w:t xml:space="preserve">underpinned both British liberties and British identity. Its invocation was thus more than a rhetorical flourish. </w:t>
      </w:r>
      <w:r w:rsidR="003B278E">
        <w:rPr>
          <w:rFonts w:ascii="Palatino Linotype" w:hAnsi="Palatino Linotype"/>
          <w:color w:val="000000"/>
          <w:sz w:val="24"/>
          <w:szCs w:val="24"/>
        </w:rPr>
        <w:t xml:space="preserve">Even in areas that those who framed </w:t>
      </w:r>
      <w:r w:rsidR="003B278E">
        <w:rPr>
          <w:rFonts w:ascii="Palatino Linotype" w:hAnsi="Palatino Linotype"/>
          <w:i/>
          <w:color w:val="000000"/>
          <w:sz w:val="24"/>
          <w:szCs w:val="24"/>
        </w:rPr>
        <w:t>Magna Charta</w:t>
      </w:r>
      <w:r w:rsidR="003B278E">
        <w:rPr>
          <w:rFonts w:ascii="Palatino Linotype" w:hAnsi="Palatino Linotype"/>
          <w:color w:val="000000"/>
          <w:sz w:val="24"/>
          <w:szCs w:val="24"/>
        </w:rPr>
        <w:t xml:space="preserve"> had </w:t>
      </w:r>
      <w:r w:rsidR="003B278E">
        <w:rPr>
          <w:rFonts w:ascii="Palatino Linotype" w:hAnsi="Palatino Linotype"/>
          <w:color w:val="000000"/>
          <w:sz w:val="24"/>
          <w:szCs w:val="24"/>
        </w:rPr>
        <w:lastRenderedPageBreak/>
        <w:t xml:space="preserve">never envisaged, it was used to warn against the accretion of executive powers. Thus the Liberal Unionist MP, Lord </w:t>
      </w:r>
      <w:proofErr w:type="spellStart"/>
      <w:r w:rsidR="003B278E">
        <w:rPr>
          <w:rFonts w:ascii="Palatino Linotype" w:hAnsi="Palatino Linotype"/>
          <w:color w:val="000000"/>
          <w:sz w:val="24"/>
          <w:szCs w:val="24"/>
        </w:rPr>
        <w:t>Morpeth</w:t>
      </w:r>
      <w:proofErr w:type="spellEnd"/>
      <w:r w:rsidR="003B278E">
        <w:rPr>
          <w:rFonts w:ascii="Palatino Linotype" w:hAnsi="Palatino Linotype"/>
          <w:color w:val="000000"/>
          <w:sz w:val="24"/>
          <w:szCs w:val="24"/>
        </w:rPr>
        <w:t xml:space="preserve">, </w:t>
      </w:r>
      <w:r w:rsidR="003B278E" w:rsidRPr="003B278E">
        <w:rPr>
          <w:rFonts w:ascii="Palatino Linotype" w:hAnsi="Palatino Linotype"/>
          <w:color w:val="000000"/>
          <w:sz w:val="24"/>
          <w:szCs w:val="24"/>
        </w:rPr>
        <w:t xml:space="preserve">warned in 1909: </w:t>
      </w:r>
      <w:r w:rsidR="003B278E">
        <w:rPr>
          <w:rFonts w:ascii="Palatino Linotype" w:hAnsi="Palatino Linotype"/>
          <w:color w:val="000000"/>
          <w:sz w:val="24"/>
          <w:szCs w:val="24"/>
        </w:rPr>
        <w:t>'</w:t>
      </w:r>
      <w:r w:rsidR="003B278E" w:rsidRPr="003B278E">
        <w:rPr>
          <w:rFonts w:ascii="Palatino Linotype" w:hAnsi="Palatino Linotype"/>
          <w:color w:val="000000"/>
          <w:sz w:val="24"/>
          <w:szCs w:val="24"/>
        </w:rPr>
        <w:t>I do not suppose that Magna Charta, or the Bill of Rights will be closely bound up with housing. None the less, the President of the Local Government Board, if he were so disposed, takes power to override these ancient laws and important statutes.</w:t>
      </w:r>
      <w:r w:rsidR="003B278E">
        <w:rPr>
          <w:rFonts w:ascii="Palatino Linotype" w:hAnsi="Palatino Linotype"/>
          <w:color w:val="000000"/>
          <w:sz w:val="24"/>
          <w:szCs w:val="24"/>
        </w:rPr>
        <w:t>'</w:t>
      </w:r>
      <w:r w:rsidR="003B278E">
        <w:rPr>
          <w:rStyle w:val="FootnoteReference"/>
          <w:rFonts w:ascii="Palatino Linotype" w:hAnsi="Palatino Linotype"/>
          <w:color w:val="000000"/>
          <w:sz w:val="24"/>
          <w:szCs w:val="24"/>
        </w:rPr>
        <w:footnoteReference w:id="18"/>
      </w:r>
      <w:r w:rsidR="0022309F">
        <w:rPr>
          <w:rFonts w:ascii="Palatino Linotype" w:hAnsi="Palatino Linotype"/>
          <w:color w:val="000000"/>
          <w:sz w:val="24"/>
          <w:szCs w:val="24"/>
        </w:rPr>
        <w:t xml:space="preserve"> Thus mention of </w:t>
      </w:r>
      <w:r w:rsidR="0022309F">
        <w:rPr>
          <w:rFonts w:ascii="Palatino Linotype" w:hAnsi="Palatino Linotype"/>
          <w:i/>
          <w:color w:val="000000"/>
          <w:sz w:val="24"/>
          <w:szCs w:val="24"/>
        </w:rPr>
        <w:t>Magna Charta</w:t>
      </w:r>
      <w:r w:rsidR="0022309F">
        <w:rPr>
          <w:rFonts w:ascii="Palatino Linotype" w:hAnsi="Palatino Linotype"/>
          <w:color w:val="000000"/>
          <w:sz w:val="24"/>
          <w:szCs w:val="24"/>
        </w:rPr>
        <w:t xml:space="preserve"> was </w:t>
      </w:r>
      <w:r w:rsidR="0097690D">
        <w:rPr>
          <w:rFonts w:ascii="Palatino Linotype" w:hAnsi="Palatino Linotype"/>
          <w:color w:val="000000"/>
          <w:sz w:val="24"/>
          <w:szCs w:val="24"/>
        </w:rPr>
        <w:t xml:space="preserve">used to express regularly revisited themes about the need to control the powers of the Crown as exercised by ministers, the need to ensure the liberties of the subject in areas of taxation or access to the law, and the idea of power as a relationship whereby its excessive use is restrained by general understandings of its limitations. </w:t>
      </w:r>
    </w:p>
    <w:p w14:paraId="687B92BE" w14:textId="77777777" w:rsidR="007B3819" w:rsidRPr="007933E8" w:rsidRDefault="0039119C">
      <w:pPr>
        <w:rPr>
          <w:rFonts w:ascii="Palatino Linotype" w:hAnsi="Palatino Linotype"/>
          <w:color w:val="000000"/>
          <w:sz w:val="24"/>
          <w:szCs w:val="24"/>
        </w:rPr>
      </w:pPr>
      <w:r>
        <w:rPr>
          <w:rFonts w:ascii="Palatino Linotype" w:hAnsi="Palatino Linotype"/>
          <w:color w:val="000000"/>
          <w:sz w:val="24"/>
          <w:szCs w:val="24"/>
        </w:rPr>
        <w:t>S</w:t>
      </w:r>
      <w:r w:rsidR="0097690D">
        <w:rPr>
          <w:rFonts w:ascii="Palatino Linotype" w:hAnsi="Palatino Linotype"/>
          <w:color w:val="000000"/>
          <w:sz w:val="24"/>
          <w:szCs w:val="24"/>
        </w:rPr>
        <w:t>pecific chapters</w:t>
      </w:r>
      <w:r w:rsidR="009056DA">
        <w:rPr>
          <w:rFonts w:ascii="Palatino Linotype" w:hAnsi="Palatino Linotype"/>
          <w:color w:val="000000"/>
          <w:sz w:val="24"/>
          <w:szCs w:val="24"/>
        </w:rPr>
        <w:t xml:space="preserve"> or provisions</w:t>
      </w:r>
      <w:r w:rsidR="0097690D">
        <w:rPr>
          <w:rFonts w:ascii="Palatino Linotype" w:hAnsi="Palatino Linotype"/>
          <w:color w:val="000000"/>
          <w:sz w:val="24"/>
          <w:szCs w:val="24"/>
        </w:rPr>
        <w:t xml:space="preserve"> of </w:t>
      </w:r>
      <w:r w:rsidR="0097690D">
        <w:rPr>
          <w:rFonts w:ascii="Palatino Linotype" w:hAnsi="Palatino Linotype"/>
          <w:i/>
          <w:color w:val="000000"/>
          <w:sz w:val="24"/>
          <w:szCs w:val="24"/>
        </w:rPr>
        <w:t>Magna Charta</w:t>
      </w:r>
      <w:r w:rsidR="0097690D">
        <w:rPr>
          <w:rFonts w:ascii="Palatino Linotype" w:hAnsi="Palatino Linotype"/>
          <w:color w:val="000000"/>
          <w:sz w:val="24"/>
          <w:szCs w:val="24"/>
        </w:rPr>
        <w:t xml:space="preserve"> </w:t>
      </w:r>
      <w:r>
        <w:rPr>
          <w:rFonts w:ascii="Palatino Linotype" w:hAnsi="Palatino Linotype"/>
          <w:color w:val="000000"/>
          <w:sz w:val="24"/>
          <w:szCs w:val="24"/>
        </w:rPr>
        <w:t xml:space="preserve">were not always </w:t>
      </w:r>
      <w:r w:rsidR="0097690D">
        <w:rPr>
          <w:rFonts w:ascii="Palatino Linotype" w:hAnsi="Palatino Linotype"/>
          <w:color w:val="000000"/>
          <w:sz w:val="24"/>
          <w:szCs w:val="24"/>
        </w:rPr>
        <w:t xml:space="preserve">referred to </w:t>
      </w:r>
      <w:r>
        <w:rPr>
          <w:rFonts w:ascii="Palatino Linotype" w:hAnsi="Palatino Linotype"/>
          <w:color w:val="000000"/>
          <w:sz w:val="24"/>
          <w:szCs w:val="24"/>
        </w:rPr>
        <w:t>in making</w:t>
      </w:r>
      <w:r w:rsidR="0097690D">
        <w:rPr>
          <w:rFonts w:ascii="Palatino Linotype" w:hAnsi="Palatino Linotype"/>
          <w:color w:val="000000"/>
          <w:sz w:val="24"/>
          <w:szCs w:val="24"/>
        </w:rPr>
        <w:t xml:space="preserve"> such points.</w:t>
      </w:r>
      <w:r>
        <w:rPr>
          <w:rFonts w:ascii="Palatino Linotype" w:hAnsi="Palatino Linotype"/>
          <w:color w:val="000000"/>
          <w:sz w:val="24"/>
          <w:szCs w:val="24"/>
        </w:rPr>
        <w:t xml:space="preserve"> </w:t>
      </w:r>
      <w:r w:rsidR="0097690D">
        <w:rPr>
          <w:rFonts w:ascii="Palatino Linotype" w:hAnsi="Palatino Linotype"/>
          <w:color w:val="000000"/>
          <w:sz w:val="24"/>
          <w:szCs w:val="24"/>
        </w:rPr>
        <w:t xml:space="preserve"> </w:t>
      </w:r>
      <w:r>
        <w:rPr>
          <w:rFonts w:ascii="Palatino Linotype" w:hAnsi="Palatino Linotype"/>
          <w:color w:val="000000"/>
          <w:sz w:val="24"/>
          <w:szCs w:val="24"/>
        </w:rPr>
        <w:t xml:space="preserve">Nor were such specific citations usually successful. An example is the attempt by the </w:t>
      </w:r>
      <w:r w:rsidRPr="0039119C">
        <w:rPr>
          <w:rFonts w:ascii="Palatino Linotype" w:hAnsi="Palatino Linotype"/>
          <w:color w:val="000000"/>
          <w:sz w:val="24"/>
          <w:szCs w:val="24"/>
        </w:rPr>
        <w:t xml:space="preserve">Liberal MP </w:t>
      </w:r>
      <w:r w:rsidR="00761349">
        <w:rPr>
          <w:rFonts w:ascii="Palatino Linotype" w:hAnsi="Palatino Linotype"/>
          <w:color w:val="000000"/>
          <w:sz w:val="24"/>
          <w:szCs w:val="24"/>
        </w:rPr>
        <w:t xml:space="preserve">and barrister </w:t>
      </w:r>
      <w:r w:rsidRPr="0039119C">
        <w:rPr>
          <w:rFonts w:ascii="Palatino Linotype" w:hAnsi="Palatino Linotype"/>
          <w:color w:val="000000"/>
          <w:sz w:val="24"/>
          <w:szCs w:val="24"/>
        </w:rPr>
        <w:t xml:space="preserve">Charles McCurdy to emphasize that </w:t>
      </w:r>
      <w:r>
        <w:rPr>
          <w:rFonts w:ascii="Palatino Linotype" w:hAnsi="Palatino Linotype"/>
          <w:color w:val="000000"/>
          <w:sz w:val="24"/>
          <w:szCs w:val="24"/>
        </w:rPr>
        <w:t>'i</w:t>
      </w:r>
      <w:r w:rsidRPr="0039119C">
        <w:rPr>
          <w:rFonts w:ascii="Palatino Linotype" w:hAnsi="Palatino Linotype"/>
          <w:color w:val="000000"/>
          <w:sz w:val="24"/>
          <w:szCs w:val="24"/>
        </w:rPr>
        <w:t>t was one of the conditions of Magna Charta, and before Magna Charta it had been a plain principle of English law, that no man should be imprisoned for any offence without his being tried and properly convicted of that offence</w:t>
      </w:r>
      <w:r>
        <w:rPr>
          <w:rFonts w:ascii="Palatino Linotype" w:hAnsi="Palatino Linotype"/>
          <w:color w:val="000000"/>
          <w:sz w:val="24"/>
          <w:szCs w:val="24"/>
        </w:rPr>
        <w:t>'</w:t>
      </w:r>
      <w:r w:rsidR="009056DA">
        <w:rPr>
          <w:rFonts w:ascii="Palatino Linotype" w:hAnsi="Palatino Linotype"/>
          <w:color w:val="000000"/>
          <w:sz w:val="24"/>
          <w:szCs w:val="24"/>
        </w:rPr>
        <w:t xml:space="preserve"> when opposing the 'Cat and Mouse' Bill. This legislation, which sought to deal with suffragette prisoners on hunger strike by temporarily releasing them was, McCurdy argued, in breach of </w:t>
      </w:r>
      <w:r w:rsidR="009056DA">
        <w:rPr>
          <w:rFonts w:ascii="Palatino Linotype" w:hAnsi="Palatino Linotype"/>
          <w:i/>
          <w:color w:val="000000"/>
          <w:sz w:val="24"/>
          <w:szCs w:val="24"/>
        </w:rPr>
        <w:t>Magna Charta</w:t>
      </w:r>
      <w:r w:rsidR="009056DA">
        <w:rPr>
          <w:rFonts w:ascii="Palatino Linotype" w:hAnsi="Palatino Linotype"/>
          <w:color w:val="000000"/>
          <w:sz w:val="24"/>
          <w:szCs w:val="24"/>
        </w:rPr>
        <w:t xml:space="preserve"> because it made their </w:t>
      </w:r>
      <w:r w:rsidR="00761349">
        <w:rPr>
          <w:rFonts w:ascii="Palatino Linotype" w:hAnsi="Palatino Linotype"/>
          <w:color w:val="000000"/>
          <w:sz w:val="24"/>
          <w:szCs w:val="24"/>
        </w:rPr>
        <w:t>re-</w:t>
      </w:r>
      <w:r w:rsidR="009056DA">
        <w:rPr>
          <w:rFonts w:ascii="Palatino Linotype" w:hAnsi="Palatino Linotype"/>
          <w:color w:val="000000"/>
          <w:sz w:val="24"/>
          <w:szCs w:val="24"/>
        </w:rPr>
        <w:t>imprisonment not a matter for the due process of tri</w:t>
      </w:r>
      <w:r w:rsidR="00761349">
        <w:rPr>
          <w:rFonts w:ascii="Palatino Linotype" w:hAnsi="Palatino Linotype"/>
          <w:color w:val="000000"/>
          <w:sz w:val="24"/>
          <w:szCs w:val="24"/>
        </w:rPr>
        <w:t xml:space="preserve">al by judge and jury, but </w:t>
      </w:r>
      <w:r w:rsidR="009056DA">
        <w:rPr>
          <w:rFonts w:ascii="Palatino Linotype" w:hAnsi="Palatino Linotype"/>
          <w:color w:val="000000"/>
          <w:sz w:val="24"/>
          <w:szCs w:val="24"/>
        </w:rPr>
        <w:t xml:space="preserve">at the discretion of the Home Secretary. </w:t>
      </w:r>
      <w:r w:rsidR="00761349">
        <w:rPr>
          <w:rFonts w:ascii="Palatino Linotype" w:hAnsi="Palatino Linotype"/>
          <w:color w:val="000000"/>
          <w:sz w:val="24"/>
          <w:szCs w:val="24"/>
        </w:rPr>
        <w:t xml:space="preserve">This </w:t>
      </w:r>
      <w:r w:rsidR="00761349" w:rsidRPr="00761349">
        <w:rPr>
          <w:rFonts w:ascii="Palatino Linotype" w:hAnsi="Palatino Linotype"/>
          <w:color w:val="000000"/>
          <w:sz w:val="24"/>
          <w:szCs w:val="24"/>
        </w:rPr>
        <w:t xml:space="preserve">constitutional breach, he suggested, was to be effected </w:t>
      </w:r>
      <w:r w:rsidR="00761349">
        <w:rPr>
          <w:rFonts w:ascii="Palatino Linotype" w:hAnsi="Palatino Linotype"/>
          <w:color w:val="000000"/>
          <w:sz w:val="24"/>
          <w:szCs w:val="24"/>
        </w:rPr>
        <w:t>'</w:t>
      </w:r>
      <w:r w:rsidR="00761349" w:rsidRPr="00761349">
        <w:rPr>
          <w:rFonts w:ascii="Palatino Linotype" w:hAnsi="Palatino Linotype"/>
          <w:color w:val="000000"/>
          <w:sz w:val="24"/>
          <w:szCs w:val="24"/>
        </w:rPr>
        <w:t>upon the ground that it is necessary to meet a case of emergency</w:t>
      </w:r>
      <w:r w:rsidR="00761349">
        <w:rPr>
          <w:rFonts w:ascii="Palatino Linotype" w:hAnsi="Palatino Linotype"/>
          <w:color w:val="000000"/>
          <w:sz w:val="24"/>
          <w:szCs w:val="24"/>
        </w:rPr>
        <w:t>.'</w:t>
      </w:r>
      <w:r w:rsidR="00761349">
        <w:rPr>
          <w:rStyle w:val="FootnoteReference"/>
          <w:rFonts w:ascii="Palatino Linotype" w:hAnsi="Palatino Linotype"/>
          <w:color w:val="000000"/>
          <w:sz w:val="24"/>
          <w:szCs w:val="24"/>
        </w:rPr>
        <w:footnoteReference w:id="19"/>
      </w:r>
      <w:r w:rsidR="00B6120C">
        <w:rPr>
          <w:rFonts w:ascii="Palatino Linotype" w:hAnsi="Palatino Linotype"/>
          <w:color w:val="000000"/>
          <w:sz w:val="24"/>
          <w:szCs w:val="24"/>
        </w:rPr>
        <w:t xml:space="preserve"> Emergency, however, here as in the case of the Official Secrets Act triumphed. </w:t>
      </w:r>
      <w:r w:rsidR="002D3D86">
        <w:rPr>
          <w:rFonts w:ascii="Palatino Linotype" w:hAnsi="Palatino Linotype"/>
          <w:color w:val="000000"/>
          <w:sz w:val="24"/>
          <w:szCs w:val="24"/>
        </w:rPr>
        <w:t xml:space="preserve">The spirit of </w:t>
      </w:r>
      <w:r w:rsidR="002D3D86">
        <w:rPr>
          <w:rFonts w:ascii="Palatino Linotype" w:hAnsi="Palatino Linotype"/>
          <w:i/>
          <w:color w:val="000000"/>
          <w:sz w:val="24"/>
          <w:szCs w:val="24"/>
        </w:rPr>
        <w:t>Magna Charta</w:t>
      </w:r>
      <w:r w:rsidR="002D3D86">
        <w:rPr>
          <w:rFonts w:ascii="Palatino Linotype" w:hAnsi="Palatino Linotype"/>
          <w:color w:val="000000"/>
          <w:sz w:val="24"/>
          <w:szCs w:val="24"/>
        </w:rPr>
        <w:t xml:space="preserve"> may have been invoked, but the letter was not applied. Instead, </w:t>
      </w:r>
      <w:r w:rsidR="0097690D">
        <w:rPr>
          <w:rFonts w:ascii="Palatino Linotype" w:hAnsi="Palatino Linotype"/>
          <w:i/>
          <w:color w:val="000000"/>
          <w:sz w:val="24"/>
          <w:szCs w:val="24"/>
        </w:rPr>
        <w:t>Magna Charta</w:t>
      </w:r>
      <w:r w:rsidR="002D3D86">
        <w:rPr>
          <w:rFonts w:ascii="Palatino Linotype" w:hAnsi="Palatino Linotype"/>
          <w:color w:val="000000"/>
          <w:sz w:val="24"/>
          <w:szCs w:val="24"/>
        </w:rPr>
        <w:t xml:space="preserve"> was seen in the period as</w:t>
      </w:r>
      <w:r w:rsidR="0097690D">
        <w:rPr>
          <w:rFonts w:ascii="Palatino Linotype" w:hAnsi="Palatino Linotype"/>
          <w:color w:val="000000"/>
          <w:sz w:val="24"/>
          <w:szCs w:val="24"/>
        </w:rPr>
        <w:t xml:space="preserve"> a series of principles, albeit ones which could be</w:t>
      </w:r>
      <w:r w:rsidR="002D3D86">
        <w:rPr>
          <w:rFonts w:ascii="Palatino Linotype" w:hAnsi="Palatino Linotype"/>
          <w:color w:val="000000"/>
          <w:sz w:val="24"/>
          <w:szCs w:val="24"/>
        </w:rPr>
        <w:t xml:space="preserve"> in certain circumstances </w:t>
      </w:r>
      <w:r w:rsidR="0097690D">
        <w:rPr>
          <w:rFonts w:ascii="Palatino Linotype" w:hAnsi="Palatino Linotype"/>
          <w:color w:val="000000"/>
          <w:sz w:val="24"/>
          <w:szCs w:val="24"/>
        </w:rPr>
        <w:t>treated as non-binding upon the government of the day.</w:t>
      </w:r>
    </w:p>
    <w:p w14:paraId="67B966FA" w14:textId="77777777" w:rsidR="002E1B0F" w:rsidRPr="007933E8" w:rsidRDefault="002E1B0F">
      <w:pPr>
        <w:rPr>
          <w:rFonts w:ascii="Palatino Linotype" w:hAnsi="Palatino Linotype"/>
          <w:color w:val="000000"/>
          <w:sz w:val="24"/>
          <w:szCs w:val="24"/>
        </w:rPr>
      </w:pPr>
      <w:r>
        <w:rPr>
          <w:rFonts w:ascii="Palatino Linotype" w:hAnsi="Palatino Linotype"/>
          <w:color w:val="000000"/>
          <w:sz w:val="24"/>
          <w:szCs w:val="24"/>
        </w:rPr>
        <w:t xml:space="preserve">As noted above, emergency </w:t>
      </w:r>
      <w:r w:rsidR="00D97F78">
        <w:rPr>
          <w:rFonts w:ascii="Palatino Linotype" w:hAnsi="Palatino Linotype"/>
          <w:color w:val="000000"/>
          <w:sz w:val="24"/>
          <w:szCs w:val="24"/>
        </w:rPr>
        <w:t xml:space="preserve">requirements </w:t>
      </w:r>
      <w:r>
        <w:rPr>
          <w:rFonts w:ascii="Palatino Linotype" w:hAnsi="Palatino Linotype"/>
          <w:color w:val="000000"/>
          <w:sz w:val="24"/>
          <w:szCs w:val="24"/>
        </w:rPr>
        <w:t xml:space="preserve">could also be used </w:t>
      </w:r>
      <w:r w:rsidR="00D97F78">
        <w:rPr>
          <w:rFonts w:ascii="Palatino Linotype" w:hAnsi="Palatino Linotype"/>
          <w:color w:val="000000"/>
          <w:sz w:val="24"/>
          <w:szCs w:val="24"/>
        </w:rPr>
        <w:t xml:space="preserve">in government </w:t>
      </w:r>
      <w:r>
        <w:rPr>
          <w:rFonts w:ascii="Palatino Linotype" w:hAnsi="Palatino Linotype"/>
          <w:color w:val="000000"/>
          <w:sz w:val="24"/>
          <w:szCs w:val="24"/>
        </w:rPr>
        <w:t xml:space="preserve">to over-ride </w:t>
      </w:r>
      <w:r>
        <w:rPr>
          <w:rFonts w:ascii="Palatino Linotype" w:hAnsi="Palatino Linotype"/>
          <w:i/>
          <w:color w:val="000000"/>
          <w:sz w:val="24"/>
          <w:szCs w:val="24"/>
        </w:rPr>
        <w:t>Magna Charta</w:t>
      </w:r>
      <w:r>
        <w:rPr>
          <w:rFonts w:ascii="Palatino Linotype" w:hAnsi="Palatino Linotype"/>
          <w:color w:val="000000"/>
          <w:sz w:val="24"/>
          <w:szCs w:val="24"/>
        </w:rPr>
        <w:t xml:space="preserve"> within the empire. </w:t>
      </w:r>
      <w:r w:rsidR="00D97F78">
        <w:rPr>
          <w:rFonts w:ascii="Palatino Linotype" w:hAnsi="Palatino Linotype"/>
          <w:color w:val="000000"/>
          <w:sz w:val="24"/>
          <w:szCs w:val="24"/>
        </w:rPr>
        <w:t xml:space="preserve">Bryce may have depicted </w:t>
      </w:r>
      <w:r w:rsidR="00D97F78">
        <w:rPr>
          <w:rFonts w:ascii="Palatino Linotype" w:hAnsi="Palatino Linotype"/>
          <w:i/>
          <w:color w:val="000000"/>
          <w:sz w:val="24"/>
          <w:szCs w:val="24"/>
        </w:rPr>
        <w:t>Magna Charta</w:t>
      </w:r>
      <w:r w:rsidR="00D97F78">
        <w:rPr>
          <w:rFonts w:ascii="Palatino Linotype" w:hAnsi="Palatino Linotype"/>
          <w:color w:val="000000"/>
          <w:sz w:val="24"/>
          <w:szCs w:val="24"/>
        </w:rPr>
        <w:t xml:space="preserve"> as part of the common inheritance </w:t>
      </w:r>
      <w:r w:rsidR="006C6D48">
        <w:rPr>
          <w:rFonts w:ascii="Palatino Linotype" w:hAnsi="Palatino Linotype"/>
          <w:color w:val="000000"/>
          <w:sz w:val="24"/>
          <w:szCs w:val="24"/>
        </w:rPr>
        <w:t xml:space="preserve">and identity </w:t>
      </w:r>
      <w:r w:rsidR="00D97F78">
        <w:rPr>
          <w:rFonts w:ascii="Palatino Linotype" w:hAnsi="Palatino Linotype"/>
          <w:color w:val="000000"/>
          <w:sz w:val="24"/>
          <w:szCs w:val="24"/>
        </w:rPr>
        <w:t xml:space="preserve">of that empire in his remarks on the Australian constitution in 1900. </w:t>
      </w:r>
      <w:proofErr w:type="gramStart"/>
      <w:r w:rsidR="00D97F78">
        <w:rPr>
          <w:rFonts w:ascii="Palatino Linotype" w:hAnsi="Palatino Linotype"/>
          <w:color w:val="000000"/>
          <w:sz w:val="24"/>
          <w:szCs w:val="24"/>
        </w:rPr>
        <w:t xml:space="preserve">As </w:t>
      </w:r>
      <w:proofErr w:type="spellStart"/>
      <w:r w:rsidR="00D97F78">
        <w:rPr>
          <w:rFonts w:ascii="Palatino Linotype" w:hAnsi="Palatino Linotype"/>
          <w:color w:val="000000"/>
          <w:sz w:val="24"/>
          <w:szCs w:val="24"/>
        </w:rPr>
        <w:t>Mackarness</w:t>
      </w:r>
      <w:proofErr w:type="spellEnd"/>
      <w:r w:rsidR="00D97F78">
        <w:rPr>
          <w:rFonts w:ascii="Palatino Linotype" w:hAnsi="Palatino Linotype"/>
          <w:color w:val="000000"/>
          <w:sz w:val="24"/>
          <w:szCs w:val="24"/>
        </w:rPr>
        <w:t xml:space="preserve"> showed with respect to India, its application was, however, uneven across the empire.</w:t>
      </w:r>
      <w:proofErr w:type="gramEnd"/>
      <w:r w:rsidR="00D97F78">
        <w:rPr>
          <w:rFonts w:ascii="Palatino Linotype" w:hAnsi="Palatino Linotype"/>
          <w:color w:val="000000"/>
          <w:sz w:val="24"/>
          <w:szCs w:val="24"/>
        </w:rPr>
        <w:t xml:space="preserve"> </w:t>
      </w:r>
      <w:r w:rsidR="007933E8">
        <w:rPr>
          <w:rFonts w:ascii="Palatino Linotype" w:hAnsi="Palatino Linotype"/>
          <w:color w:val="000000"/>
          <w:sz w:val="24"/>
          <w:szCs w:val="24"/>
        </w:rPr>
        <w:t xml:space="preserve">He specifically raised </w:t>
      </w:r>
      <w:r w:rsidR="007933E8">
        <w:rPr>
          <w:rFonts w:ascii="Palatino Linotype" w:hAnsi="Palatino Linotype"/>
          <w:i/>
          <w:color w:val="000000"/>
          <w:sz w:val="24"/>
          <w:szCs w:val="24"/>
        </w:rPr>
        <w:t>Magna Charta</w:t>
      </w:r>
      <w:r w:rsidR="007933E8">
        <w:rPr>
          <w:rFonts w:ascii="Palatino Linotype" w:hAnsi="Palatino Linotype"/>
          <w:color w:val="000000"/>
          <w:sz w:val="24"/>
          <w:szCs w:val="24"/>
        </w:rPr>
        <w:t xml:space="preserve"> in order to highlight this point. </w:t>
      </w:r>
      <w:r w:rsidR="00ED0514">
        <w:rPr>
          <w:rFonts w:ascii="Palatino Linotype" w:hAnsi="Palatino Linotype"/>
          <w:color w:val="000000"/>
          <w:sz w:val="24"/>
          <w:szCs w:val="24"/>
        </w:rPr>
        <w:t xml:space="preserve">Similar concerns, in this instance with respect to South Africa, prompted the one occasion during the </w:t>
      </w:r>
      <w:r w:rsidR="007933E8">
        <w:rPr>
          <w:rFonts w:ascii="Palatino Linotype" w:hAnsi="Palatino Linotype"/>
          <w:color w:val="000000"/>
          <w:sz w:val="24"/>
          <w:szCs w:val="24"/>
        </w:rPr>
        <w:t xml:space="preserve">period 1900-14 when </w:t>
      </w:r>
      <w:r w:rsidR="007933E8">
        <w:rPr>
          <w:rFonts w:ascii="Palatino Linotype" w:hAnsi="Palatino Linotype"/>
          <w:i/>
          <w:color w:val="000000"/>
          <w:sz w:val="24"/>
          <w:szCs w:val="24"/>
        </w:rPr>
        <w:t>Magna Charta</w:t>
      </w:r>
      <w:r w:rsidR="00ED0514">
        <w:rPr>
          <w:rFonts w:ascii="Palatino Linotype" w:hAnsi="Palatino Linotype"/>
          <w:color w:val="000000"/>
          <w:sz w:val="24"/>
          <w:szCs w:val="24"/>
        </w:rPr>
        <w:t xml:space="preserve"> was made central to a parliamentary debate. This was when </w:t>
      </w:r>
      <w:r w:rsidR="00D97F78">
        <w:rPr>
          <w:rFonts w:ascii="Palatino Linotype" w:hAnsi="Palatino Linotype"/>
          <w:color w:val="000000"/>
          <w:sz w:val="24"/>
          <w:szCs w:val="24"/>
        </w:rPr>
        <w:t xml:space="preserve">the Labour MP, </w:t>
      </w:r>
      <w:r w:rsidR="00D97F78">
        <w:rPr>
          <w:rFonts w:ascii="Palatino Linotype" w:hAnsi="Palatino Linotype"/>
          <w:color w:val="000000"/>
          <w:sz w:val="24"/>
          <w:szCs w:val="24"/>
        </w:rPr>
        <w:lastRenderedPageBreak/>
        <w:t xml:space="preserve">Frank Goldstone, shortly before </w:t>
      </w:r>
      <w:r w:rsidR="00D97F78" w:rsidRPr="007933E8">
        <w:rPr>
          <w:rFonts w:ascii="Palatino Linotype" w:hAnsi="Palatino Linotype"/>
          <w:color w:val="000000"/>
          <w:sz w:val="24"/>
          <w:szCs w:val="24"/>
        </w:rPr>
        <w:t>the outbreak of the First World War</w:t>
      </w:r>
      <w:r w:rsidR="00ED0514">
        <w:rPr>
          <w:rFonts w:ascii="Palatino Linotype" w:hAnsi="Palatino Linotype"/>
          <w:color w:val="000000"/>
          <w:sz w:val="24"/>
          <w:szCs w:val="24"/>
        </w:rPr>
        <w:t xml:space="preserve"> </w:t>
      </w:r>
      <w:r w:rsidR="007933E8" w:rsidRPr="007933E8">
        <w:rPr>
          <w:rFonts w:ascii="Palatino Linotype" w:hAnsi="Palatino Linotype"/>
          <w:color w:val="000000"/>
          <w:sz w:val="24"/>
          <w:szCs w:val="24"/>
        </w:rPr>
        <w:t xml:space="preserve">argued that </w:t>
      </w:r>
      <w:r w:rsidR="007933E8">
        <w:rPr>
          <w:rFonts w:ascii="Palatino Linotype" w:hAnsi="Palatino Linotype"/>
          <w:color w:val="000000"/>
          <w:sz w:val="24"/>
          <w:szCs w:val="24"/>
        </w:rPr>
        <w:t>'</w:t>
      </w:r>
      <w:r w:rsidR="007933E8" w:rsidRPr="007933E8">
        <w:rPr>
          <w:rFonts w:ascii="Palatino Linotype" w:hAnsi="Palatino Linotype"/>
          <w:color w:val="000000"/>
          <w:sz w:val="24"/>
          <w:szCs w:val="24"/>
        </w:rPr>
        <w:t>the rights of British Citizens set forth in Magna Charta, the Petition of Right, and the</w:t>
      </w:r>
      <w:r w:rsidR="007933E8" w:rsidRPr="007933E8">
        <w:rPr>
          <w:rStyle w:val="apple-converted-space"/>
          <w:rFonts w:ascii="Palatino Linotype" w:hAnsi="Palatino Linotype"/>
          <w:color w:val="000000"/>
          <w:sz w:val="24"/>
          <w:szCs w:val="24"/>
        </w:rPr>
        <w:t> </w:t>
      </w:r>
      <w:hyperlink r:id="rId9" w:history="1">
        <w:r w:rsidR="007933E8" w:rsidRPr="007933E8">
          <w:rPr>
            <w:rStyle w:val="Hyperlink"/>
            <w:rFonts w:ascii="Palatino Linotype" w:hAnsi="Palatino Linotype"/>
            <w:sz w:val="24"/>
            <w:szCs w:val="24"/>
          </w:rPr>
          <w:t>Habeas Corpus Act</w:t>
        </w:r>
      </w:hyperlink>
      <w:r w:rsidR="007933E8" w:rsidRPr="007933E8">
        <w:rPr>
          <w:rFonts w:ascii="Palatino Linotype" w:hAnsi="Palatino Linotype"/>
          <w:color w:val="000000"/>
          <w:sz w:val="24"/>
          <w:szCs w:val="24"/>
        </w:rPr>
        <w:t>, and declared and recognised by the Common Law of England, should be common to the whole Empire, and their inviolability should be assured in every self-governing dominion.</w:t>
      </w:r>
      <w:r w:rsidR="00ED0514">
        <w:rPr>
          <w:rFonts w:ascii="Palatino Linotype" w:hAnsi="Palatino Linotype"/>
          <w:color w:val="000000"/>
          <w:sz w:val="24"/>
          <w:szCs w:val="24"/>
        </w:rPr>
        <w:t>'</w:t>
      </w:r>
      <w:r w:rsidR="00ED0514">
        <w:rPr>
          <w:rStyle w:val="FootnoteReference"/>
          <w:rFonts w:ascii="Palatino Linotype" w:hAnsi="Palatino Linotype"/>
          <w:color w:val="000000"/>
          <w:sz w:val="24"/>
          <w:szCs w:val="24"/>
        </w:rPr>
        <w:footnoteReference w:id="20"/>
      </w:r>
      <w:r w:rsidR="00D97F78" w:rsidRPr="007933E8">
        <w:rPr>
          <w:rFonts w:ascii="Palatino Linotype" w:hAnsi="Palatino Linotype"/>
          <w:color w:val="000000"/>
          <w:sz w:val="24"/>
          <w:szCs w:val="24"/>
        </w:rPr>
        <w:t xml:space="preserve"> </w:t>
      </w:r>
    </w:p>
    <w:p w14:paraId="4EB06A7F" w14:textId="77777777" w:rsidR="007B3819" w:rsidRPr="005A7A3E" w:rsidRDefault="00287D22">
      <w:pPr>
        <w:rPr>
          <w:rFonts w:ascii="Palatino Linotype" w:hAnsi="Palatino Linotype"/>
          <w:color w:val="000000"/>
          <w:sz w:val="24"/>
          <w:szCs w:val="24"/>
        </w:rPr>
      </w:pPr>
      <w:r>
        <w:rPr>
          <w:rFonts w:ascii="Palatino Linotype" w:hAnsi="Palatino Linotype"/>
          <w:color w:val="000000"/>
          <w:sz w:val="24"/>
          <w:szCs w:val="24"/>
        </w:rPr>
        <w:t>It was conceded b</w:t>
      </w:r>
      <w:r w:rsidR="009D7C12">
        <w:rPr>
          <w:rFonts w:ascii="Palatino Linotype" w:hAnsi="Palatino Linotype"/>
          <w:color w:val="000000"/>
          <w:sz w:val="24"/>
          <w:szCs w:val="24"/>
        </w:rPr>
        <w:t>y the Colonial Secretary, Lewis</w:t>
      </w:r>
      <w:r>
        <w:rPr>
          <w:rFonts w:ascii="Palatino Linotype" w:hAnsi="Palatino Linotype"/>
          <w:color w:val="000000"/>
          <w:sz w:val="24"/>
          <w:szCs w:val="24"/>
        </w:rPr>
        <w:t xml:space="preserve"> </w:t>
      </w:r>
      <w:proofErr w:type="gramStart"/>
      <w:r>
        <w:rPr>
          <w:rFonts w:ascii="Palatino Linotype" w:hAnsi="Palatino Linotype"/>
          <w:color w:val="000000"/>
          <w:sz w:val="24"/>
          <w:szCs w:val="24"/>
        </w:rPr>
        <w:t>Harcourt, that</w:t>
      </w:r>
      <w:proofErr w:type="gramEnd"/>
      <w:r>
        <w:rPr>
          <w:rFonts w:ascii="Palatino Linotype" w:hAnsi="Palatino Linotype"/>
          <w:color w:val="000000"/>
          <w:sz w:val="24"/>
          <w:szCs w:val="24"/>
        </w:rPr>
        <w:t xml:space="preserve"> the South African government undoubtedly acted illegally. The problem was that South Africa was a self-governing dominion within the empire. As the Tory MP, Lord Hugh Cecil </w:t>
      </w:r>
      <w:r w:rsidRPr="00287D22">
        <w:rPr>
          <w:rFonts w:ascii="Palatino Linotype" w:hAnsi="Palatino Linotype"/>
          <w:color w:val="000000"/>
          <w:sz w:val="24"/>
          <w:szCs w:val="24"/>
        </w:rPr>
        <w:t>noted, the result was that 'we have less power to interfere in a part of the British Empire that, as it were, takes to tyranny than we should have in a neighbouring country which was nominally independent.</w:t>
      </w:r>
      <w:r>
        <w:rPr>
          <w:rFonts w:ascii="Palatino Linotype" w:hAnsi="Palatino Linotype"/>
          <w:color w:val="000000"/>
          <w:sz w:val="24"/>
          <w:szCs w:val="24"/>
        </w:rPr>
        <w:t xml:space="preserve">' Disconsolately, the Labour MP Stephen </w:t>
      </w:r>
      <w:r w:rsidRPr="006769DF">
        <w:rPr>
          <w:rFonts w:ascii="Palatino Linotype" w:hAnsi="Palatino Linotype"/>
          <w:color w:val="000000"/>
          <w:sz w:val="24"/>
          <w:szCs w:val="24"/>
        </w:rPr>
        <w:t>Walsh observed: I have been under the impression that there were certain fundamental principles of British law upon which all these self-governing institutions were to be based</w:t>
      </w:r>
      <w:proofErr w:type="gramStart"/>
      <w:r w:rsidRPr="006769DF">
        <w:rPr>
          <w:rFonts w:ascii="Palatino Linotype" w:hAnsi="Palatino Linotype"/>
          <w:color w:val="000000"/>
          <w:sz w:val="24"/>
          <w:szCs w:val="24"/>
        </w:rPr>
        <w:t>.</w:t>
      </w:r>
      <w:r w:rsidR="006769DF" w:rsidRPr="006769DF">
        <w:rPr>
          <w:rFonts w:ascii="Palatino Linotype" w:hAnsi="Palatino Linotype"/>
          <w:color w:val="000000"/>
          <w:sz w:val="24"/>
          <w:szCs w:val="24"/>
        </w:rPr>
        <w:t>...In</w:t>
      </w:r>
      <w:proofErr w:type="gramEnd"/>
      <w:r w:rsidR="006769DF" w:rsidRPr="006769DF">
        <w:rPr>
          <w:rFonts w:ascii="Palatino Linotype" w:hAnsi="Palatino Linotype"/>
          <w:color w:val="000000"/>
          <w:sz w:val="24"/>
          <w:szCs w:val="24"/>
        </w:rPr>
        <w:t xml:space="preserve"> the ignorance under which we labour upon these benches we really thought that that fundamental condition would exist just as much in the South African Dominions as in our own country, that there should be no person outlawed or exiled, that justice should not be sold and should not be deferred, that no man should be deprived of his fundamental liberties, except through trial by his peers.</w:t>
      </w:r>
      <w:r w:rsidR="006769DF">
        <w:rPr>
          <w:rFonts w:ascii="Palatino Linotype" w:hAnsi="Palatino Linotype"/>
          <w:color w:val="000000"/>
          <w:sz w:val="24"/>
          <w:szCs w:val="24"/>
        </w:rPr>
        <w:t>'</w:t>
      </w:r>
      <w:r w:rsidR="006769DF">
        <w:rPr>
          <w:rStyle w:val="FootnoteReference"/>
          <w:rFonts w:ascii="Palatino Linotype" w:hAnsi="Palatino Linotype"/>
          <w:color w:val="000000"/>
          <w:sz w:val="24"/>
          <w:szCs w:val="24"/>
        </w:rPr>
        <w:footnoteReference w:id="21"/>
      </w:r>
      <w:r w:rsidR="00CF0EA0">
        <w:rPr>
          <w:rFonts w:ascii="Palatino Linotype" w:hAnsi="Palatino Linotype"/>
          <w:color w:val="000000"/>
          <w:sz w:val="24"/>
          <w:szCs w:val="24"/>
        </w:rPr>
        <w:t xml:space="preserve"> The </w:t>
      </w:r>
      <w:r w:rsidR="005A7A3E">
        <w:rPr>
          <w:rFonts w:ascii="Palatino Linotype" w:hAnsi="Palatino Linotype"/>
          <w:color w:val="000000"/>
          <w:sz w:val="24"/>
          <w:szCs w:val="24"/>
        </w:rPr>
        <w:t xml:space="preserve">analogous </w:t>
      </w:r>
      <w:r w:rsidR="00CF0EA0">
        <w:rPr>
          <w:rFonts w:ascii="Palatino Linotype" w:hAnsi="Palatino Linotype"/>
          <w:i/>
          <w:color w:val="000000"/>
          <w:sz w:val="24"/>
          <w:szCs w:val="24"/>
        </w:rPr>
        <w:t>Magna Charta</w:t>
      </w:r>
      <w:r w:rsidR="00CF0EA0">
        <w:rPr>
          <w:rFonts w:ascii="Palatino Linotype" w:hAnsi="Palatino Linotype"/>
          <w:color w:val="000000"/>
          <w:sz w:val="24"/>
          <w:szCs w:val="24"/>
        </w:rPr>
        <w:t xml:space="preserve"> </w:t>
      </w:r>
      <w:r w:rsidR="005A7A3E">
        <w:rPr>
          <w:rFonts w:ascii="Palatino Linotype" w:hAnsi="Palatino Linotype"/>
          <w:color w:val="000000"/>
          <w:sz w:val="24"/>
          <w:szCs w:val="24"/>
        </w:rPr>
        <w:t>of guarantees for the Boers</w:t>
      </w:r>
      <w:r w:rsidR="00CF0EA0">
        <w:rPr>
          <w:rFonts w:ascii="Palatino Linotype" w:hAnsi="Palatino Linotype"/>
          <w:color w:val="000000"/>
          <w:sz w:val="24"/>
          <w:szCs w:val="24"/>
        </w:rPr>
        <w:t xml:space="preserve"> that Churchill had spoken of in 1902 had turned out to undermine the </w:t>
      </w:r>
      <w:r w:rsidR="005A7A3E">
        <w:rPr>
          <w:rFonts w:ascii="Palatino Linotype" w:hAnsi="Palatino Linotype"/>
          <w:color w:val="000000"/>
          <w:sz w:val="24"/>
          <w:szCs w:val="24"/>
        </w:rPr>
        <w:t xml:space="preserve">liberties provided for in </w:t>
      </w:r>
      <w:r w:rsidR="005A7A3E">
        <w:rPr>
          <w:rFonts w:ascii="Palatino Linotype" w:hAnsi="Palatino Linotype"/>
          <w:i/>
          <w:color w:val="000000"/>
          <w:sz w:val="24"/>
          <w:szCs w:val="24"/>
        </w:rPr>
        <w:t>Magna Charta</w:t>
      </w:r>
      <w:r w:rsidR="005A7A3E">
        <w:rPr>
          <w:rFonts w:ascii="Palatino Linotype" w:hAnsi="Palatino Linotype"/>
          <w:color w:val="000000"/>
          <w:sz w:val="24"/>
          <w:szCs w:val="24"/>
        </w:rPr>
        <w:t xml:space="preserve"> itself.</w:t>
      </w:r>
    </w:p>
    <w:p w14:paraId="60F276A2" w14:textId="77777777" w:rsidR="007B3819" w:rsidRPr="009D7C12" w:rsidRDefault="006769DF">
      <w:pPr>
        <w:rPr>
          <w:rFonts w:ascii="Palatino Linotype" w:hAnsi="Palatino Linotype"/>
          <w:color w:val="000000"/>
          <w:sz w:val="24"/>
          <w:szCs w:val="24"/>
        </w:rPr>
      </w:pPr>
      <w:r>
        <w:rPr>
          <w:rFonts w:ascii="Palatino Linotype" w:hAnsi="Palatino Linotype"/>
          <w:i/>
          <w:color w:val="000000"/>
          <w:sz w:val="24"/>
          <w:szCs w:val="24"/>
        </w:rPr>
        <w:t>Magna Charta</w:t>
      </w:r>
      <w:r>
        <w:rPr>
          <w:rFonts w:ascii="Palatino Linotype" w:hAnsi="Palatino Linotype"/>
          <w:color w:val="000000"/>
          <w:sz w:val="24"/>
          <w:szCs w:val="24"/>
        </w:rPr>
        <w:t xml:space="preserve"> could not be made justiciable in the self-governing empire and its operation could be trammelled by emergency considerations both elsewhere in the empire and at home. </w:t>
      </w:r>
      <w:r w:rsidR="00693A7A">
        <w:rPr>
          <w:rFonts w:ascii="Palatino Linotype" w:hAnsi="Palatino Linotype"/>
          <w:color w:val="000000"/>
          <w:sz w:val="24"/>
          <w:szCs w:val="24"/>
        </w:rPr>
        <w:t>It could, however, be used to address such questionable uses of power, to suggest that they breached the subtle understandings of the conventions of the unwritten constitution Asquith was so apt to evoke,</w:t>
      </w:r>
      <w:r w:rsidR="00693A7A">
        <w:rPr>
          <w:rStyle w:val="FootnoteReference"/>
          <w:rFonts w:ascii="Palatino Linotype" w:hAnsi="Palatino Linotype"/>
          <w:color w:val="000000"/>
          <w:sz w:val="24"/>
          <w:szCs w:val="24"/>
        </w:rPr>
        <w:footnoteReference w:id="22"/>
      </w:r>
      <w:r w:rsidR="00693A7A">
        <w:rPr>
          <w:rFonts w:ascii="Palatino Linotype" w:hAnsi="Palatino Linotype"/>
          <w:color w:val="000000"/>
          <w:sz w:val="24"/>
          <w:szCs w:val="24"/>
        </w:rPr>
        <w:t xml:space="preserve"> and to imply that these breaches were only acceptable within some kind of emergency frameworks. </w:t>
      </w:r>
      <w:r w:rsidR="00693A7A">
        <w:rPr>
          <w:rFonts w:ascii="Palatino Linotype" w:hAnsi="Palatino Linotype"/>
          <w:i/>
          <w:color w:val="000000"/>
          <w:sz w:val="24"/>
          <w:szCs w:val="24"/>
        </w:rPr>
        <w:t>Magna Charta</w:t>
      </w:r>
      <w:r w:rsidR="00693A7A">
        <w:rPr>
          <w:rFonts w:ascii="Palatino Linotype" w:hAnsi="Palatino Linotype"/>
          <w:color w:val="000000"/>
          <w:sz w:val="24"/>
          <w:szCs w:val="24"/>
        </w:rPr>
        <w:t xml:space="preserve">, in other words, was part of the foundational understandings of a liberal order which, while never wholly observed was also never wholly to be set aside. While sometimes observed in the breach, it helped to frame a political culture and set of assumptions about what ought </w:t>
      </w:r>
      <w:r w:rsidR="00566157">
        <w:rPr>
          <w:rFonts w:ascii="Palatino Linotype" w:hAnsi="Palatino Linotype"/>
          <w:color w:val="000000"/>
          <w:sz w:val="24"/>
          <w:szCs w:val="24"/>
        </w:rPr>
        <w:t xml:space="preserve">ideally </w:t>
      </w:r>
      <w:r w:rsidR="00693A7A">
        <w:rPr>
          <w:rFonts w:ascii="Palatino Linotype" w:hAnsi="Palatino Linotype"/>
          <w:color w:val="000000"/>
          <w:sz w:val="24"/>
          <w:szCs w:val="24"/>
        </w:rPr>
        <w:t xml:space="preserve">to happen. </w:t>
      </w:r>
      <w:r w:rsidR="00566157">
        <w:rPr>
          <w:rFonts w:ascii="Palatino Linotype" w:hAnsi="Palatino Linotype"/>
          <w:color w:val="000000"/>
          <w:sz w:val="24"/>
          <w:szCs w:val="24"/>
        </w:rPr>
        <w:t xml:space="preserve">In shaping this political culture in terms of an inheritance of defence of liberties against an over-mighty </w:t>
      </w:r>
      <w:r w:rsidR="00566157">
        <w:rPr>
          <w:rFonts w:ascii="Palatino Linotype" w:hAnsi="Palatino Linotype"/>
          <w:color w:val="000000"/>
          <w:sz w:val="24"/>
          <w:szCs w:val="24"/>
        </w:rPr>
        <w:lastRenderedPageBreak/>
        <w:t xml:space="preserve">Crown of which all political parties - even the Irish Home Rulers - could see themselves as heirs, </w:t>
      </w:r>
      <w:r w:rsidR="00566157">
        <w:rPr>
          <w:rFonts w:ascii="Palatino Linotype" w:hAnsi="Palatino Linotype"/>
          <w:i/>
          <w:color w:val="000000"/>
          <w:sz w:val="24"/>
          <w:szCs w:val="24"/>
        </w:rPr>
        <w:t>Magna Charta</w:t>
      </w:r>
      <w:r w:rsidR="00566157">
        <w:rPr>
          <w:rFonts w:ascii="Palatino Linotype" w:hAnsi="Palatino Linotype"/>
          <w:color w:val="000000"/>
          <w:sz w:val="24"/>
          <w:szCs w:val="24"/>
        </w:rPr>
        <w:t xml:space="preserve"> was arguably far more important </w:t>
      </w:r>
      <w:r w:rsidR="009D7C12">
        <w:rPr>
          <w:rFonts w:ascii="Palatino Linotype" w:hAnsi="Palatino Linotype"/>
          <w:color w:val="000000"/>
          <w:sz w:val="24"/>
          <w:szCs w:val="24"/>
        </w:rPr>
        <w:t xml:space="preserve">at the start of the twentieth century </w:t>
      </w:r>
      <w:r w:rsidR="00566157">
        <w:rPr>
          <w:rFonts w:ascii="Palatino Linotype" w:hAnsi="Palatino Linotype"/>
          <w:color w:val="000000"/>
          <w:sz w:val="24"/>
          <w:szCs w:val="24"/>
        </w:rPr>
        <w:t>than as a living legal document. It was not a fundamental document, though it was sometimes discussed as if it were. Instead, the way in which it was regularly used as a metaphor for some kind of fundamental and lasting settlement by a wide range of parliamentarians demonstrates that the idea and desirability o</w:t>
      </w:r>
      <w:r w:rsidR="009D7C12">
        <w:rPr>
          <w:rFonts w:ascii="Palatino Linotype" w:hAnsi="Palatino Linotype"/>
          <w:color w:val="000000"/>
          <w:sz w:val="24"/>
          <w:szCs w:val="24"/>
        </w:rPr>
        <w:t>f such settlements very much shaped</w:t>
      </w:r>
      <w:r w:rsidR="00566157">
        <w:rPr>
          <w:rFonts w:ascii="Palatino Linotype" w:hAnsi="Palatino Linotype"/>
          <w:color w:val="000000"/>
          <w:sz w:val="24"/>
          <w:szCs w:val="24"/>
        </w:rPr>
        <w:t xml:space="preserve"> political thinking. </w:t>
      </w:r>
      <w:r w:rsidR="0067765C">
        <w:rPr>
          <w:rFonts w:ascii="Palatino Linotype" w:hAnsi="Palatino Linotype"/>
          <w:color w:val="000000"/>
          <w:sz w:val="24"/>
          <w:szCs w:val="24"/>
        </w:rPr>
        <w:t xml:space="preserve">It was through these two residues in political culture: a language of liberties against an overweening executive and an understanding of </w:t>
      </w:r>
      <w:r w:rsidR="0067765C">
        <w:rPr>
          <w:rFonts w:ascii="Palatino Linotype" w:hAnsi="Palatino Linotype"/>
          <w:i/>
          <w:color w:val="000000"/>
          <w:sz w:val="24"/>
          <w:szCs w:val="24"/>
        </w:rPr>
        <w:t>Magna Charta</w:t>
      </w:r>
      <w:r w:rsidR="0067765C">
        <w:rPr>
          <w:rFonts w:ascii="Palatino Linotype" w:hAnsi="Palatino Linotype"/>
          <w:color w:val="000000"/>
          <w:sz w:val="24"/>
          <w:szCs w:val="24"/>
        </w:rPr>
        <w:t xml:space="preserve"> as an exemplary political settlement, that its importance lay in the years before the First World War. </w:t>
      </w:r>
      <w:r>
        <w:rPr>
          <w:rFonts w:ascii="Palatino Linotype" w:hAnsi="Palatino Linotype"/>
          <w:color w:val="000000"/>
          <w:sz w:val="24"/>
          <w:szCs w:val="24"/>
        </w:rPr>
        <w:t>If the 700th anniversary celebrations had gone ahead in 1915</w:t>
      </w:r>
      <w:r w:rsidR="0003149A">
        <w:rPr>
          <w:rFonts w:ascii="Palatino Linotype" w:hAnsi="Palatino Linotype"/>
          <w:color w:val="000000"/>
          <w:sz w:val="24"/>
          <w:szCs w:val="24"/>
        </w:rPr>
        <w:t xml:space="preserve"> they would not have been reflecting on something of merely historical interest. </w:t>
      </w:r>
      <w:r w:rsidR="009D7C12">
        <w:rPr>
          <w:rFonts w:ascii="Palatino Linotype" w:hAnsi="Palatino Linotype"/>
          <w:color w:val="000000"/>
          <w:sz w:val="24"/>
          <w:szCs w:val="24"/>
        </w:rPr>
        <w:t xml:space="preserve">Instead, </w:t>
      </w:r>
      <w:r w:rsidR="009D7C12">
        <w:rPr>
          <w:rFonts w:ascii="Palatino Linotype" w:hAnsi="Palatino Linotype"/>
          <w:i/>
          <w:color w:val="000000"/>
          <w:sz w:val="24"/>
          <w:szCs w:val="24"/>
        </w:rPr>
        <w:t>Magna Charta</w:t>
      </w:r>
      <w:r w:rsidR="009D7C12">
        <w:rPr>
          <w:rFonts w:ascii="Palatino Linotype" w:hAnsi="Palatino Linotype"/>
          <w:color w:val="000000"/>
          <w:sz w:val="24"/>
          <w:szCs w:val="24"/>
        </w:rPr>
        <w:t xml:space="preserve"> was a potent political symbol and idea.</w:t>
      </w:r>
    </w:p>
    <w:p w14:paraId="50BDFF4A" w14:textId="77777777" w:rsidR="000B430F" w:rsidRPr="00CF62A6" w:rsidRDefault="000B430F">
      <w:pPr>
        <w:rPr>
          <w:rFonts w:ascii="Palatino Linotype" w:hAnsi="Palatino Linotype"/>
          <w:sz w:val="24"/>
          <w:szCs w:val="24"/>
        </w:rPr>
      </w:pPr>
    </w:p>
    <w:p w14:paraId="23F79CF1" w14:textId="77777777" w:rsidR="00CE3140" w:rsidRDefault="00CE3140">
      <w:pPr>
        <w:rPr>
          <w:rFonts w:ascii="Palatino Linotype" w:hAnsi="Palatino Linotype"/>
          <w:sz w:val="24"/>
          <w:szCs w:val="24"/>
        </w:rPr>
      </w:pPr>
    </w:p>
    <w:p w14:paraId="6D4C81F8" w14:textId="77777777" w:rsidR="0067765C" w:rsidRPr="0067765C" w:rsidRDefault="0067765C">
      <w:pPr>
        <w:rPr>
          <w:rFonts w:ascii="Palatino Linotype" w:hAnsi="Palatino Linotype"/>
          <w:i/>
          <w:sz w:val="24"/>
          <w:szCs w:val="24"/>
        </w:rPr>
      </w:pPr>
      <w:r w:rsidRPr="0067765C">
        <w:rPr>
          <w:rFonts w:ascii="Palatino Linotype" w:hAnsi="Palatino Linotype"/>
          <w:i/>
          <w:sz w:val="24"/>
          <w:szCs w:val="24"/>
        </w:rPr>
        <w:t xml:space="preserve">Dr Peter </w:t>
      </w:r>
      <w:proofErr w:type="spellStart"/>
      <w:r w:rsidRPr="0067765C">
        <w:rPr>
          <w:rFonts w:ascii="Palatino Linotype" w:hAnsi="Palatino Linotype"/>
          <w:i/>
          <w:sz w:val="24"/>
          <w:szCs w:val="24"/>
        </w:rPr>
        <w:t>Catterall</w:t>
      </w:r>
      <w:proofErr w:type="spellEnd"/>
    </w:p>
    <w:p w14:paraId="2B22FEAE" w14:textId="77777777" w:rsidR="0067765C" w:rsidRPr="0067765C" w:rsidRDefault="0067765C">
      <w:pPr>
        <w:rPr>
          <w:rFonts w:ascii="Palatino Linotype" w:hAnsi="Palatino Linotype"/>
          <w:i/>
          <w:sz w:val="24"/>
          <w:szCs w:val="24"/>
        </w:rPr>
      </w:pPr>
      <w:r w:rsidRPr="0067765C">
        <w:rPr>
          <w:rFonts w:ascii="Palatino Linotype" w:hAnsi="Palatino Linotype"/>
          <w:i/>
          <w:sz w:val="24"/>
          <w:szCs w:val="24"/>
        </w:rPr>
        <w:t>University of Westminster</w:t>
      </w:r>
    </w:p>
    <w:p w14:paraId="78912F27" w14:textId="77777777" w:rsidR="00AB2AC2" w:rsidRPr="00053722" w:rsidRDefault="00AB2AC2" w:rsidP="00AB2AC2">
      <w:pPr>
        <w:rPr>
          <w:b/>
        </w:rPr>
      </w:pPr>
      <w:r>
        <w:rPr>
          <w:b/>
        </w:rPr>
        <w:t>TABLE 1: References in Parliament by party, type and subject 1900-December 1905 (under the Conservative government)</w:t>
      </w:r>
    </w:p>
    <w:tbl>
      <w:tblPr>
        <w:tblStyle w:val="TableGrid"/>
        <w:tblW w:w="0" w:type="auto"/>
        <w:tblLook w:val="04A0" w:firstRow="1" w:lastRow="0" w:firstColumn="1" w:lastColumn="0" w:noHBand="0" w:noVBand="1"/>
      </w:tblPr>
      <w:tblGrid>
        <w:gridCol w:w="1397"/>
        <w:gridCol w:w="1375"/>
        <w:gridCol w:w="1294"/>
        <w:gridCol w:w="1283"/>
        <w:gridCol w:w="1295"/>
      </w:tblGrid>
      <w:tr w:rsidR="00AB2AC2" w14:paraId="5D938B6C" w14:textId="77777777" w:rsidTr="003E2B05">
        <w:tc>
          <w:tcPr>
            <w:tcW w:w="1397" w:type="dxa"/>
          </w:tcPr>
          <w:p w14:paraId="74CAD21E" w14:textId="77777777" w:rsidR="00AB2AC2" w:rsidRDefault="00AB2AC2" w:rsidP="003E2B05">
            <w:r>
              <w:t>Party</w:t>
            </w:r>
          </w:p>
        </w:tc>
        <w:tc>
          <w:tcPr>
            <w:tcW w:w="1375" w:type="dxa"/>
          </w:tcPr>
          <w:p w14:paraId="23EBB8EB" w14:textId="77777777" w:rsidR="00AB2AC2" w:rsidRDefault="00AB2AC2" w:rsidP="003E2B05">
            <w:r>
              <w:t>Conservative</w:t>
            </w:r>
          </w:p>
        </w:tc>
        <w:tc>
          <w:tcPr>
            <w:tcW w:w="1294" w:type="dxa"/>
          </w:tcPr>
          <w:p w14:paraId="2521D821" w14:textId="77777777" w:rsidR="00AB2AC2" w:rsidRDefault="00AB2AC2" w:rsidP="003E2B05">
            <w:r>
              <w:t>Liberal</w:t>
            </w:r>
          </w:p>
        </w:tc>
        <w:tc>
          <w:tcPr>
            <w:tcW w:w="1283" w:type="dxa"/>
          </w:tcPr>
          <w:p w14:paraId="1E6D2BC7" w14:textId="77777777" w:rsidR="00AB2AC2" w:rsidRDefault="00AB2AC2" w:rsidP="003E2B05">
            <w:r>
              <w:t>Irish</w:t>
            </w:r>
          </w:p>
        </w:tc>
        <w:tc>
          <w:tcPr>
            <w:tcW w:w="1295" w:type="dxa"/>
          </w:tcPr>
          <w:p w14:paraId="5D353733" w14:textId="77777777" w:rsidR="00AB2AC2" w:rsidRDefault="00AB2AC2" w:rsidP="003E2B05">
            <w:r>
              <w:t>TOTAL</w:t>
            </w:r>
          </w:p>
        </w:tc>
      </w:tr>
      <w:tr w:rsidR="00AB2AC2" w14:paraId="2B0492A9" w14:textId="77777777" w:rsidTr="003E2B05">
        <w:tc>
          <w:tcPr>
            <w:tcW w:w="1397" w:type="dxa"/>
          </w:tcPr>
          <w:p w14:paraId="00589DA8" w14:textId="77777777" w:rsidR="00AB2AC2" w:rsidRPr="00EB0E8E" w:rsidRDefault="00AB2AC2" w:rsidP="003E2B05">
            <w:pPr>
              <w:rPr>
                <w:b/>
              </w:rPr>
            </w:pPr>
            <w:r>
              <w:rPr>
                <w:b/>
              </w:rPr>
              <w:t>Types of reference</w:t>
            </w:r>
          </w:p>
        </w:tc>
        <w:tc>
          <w:tcPr>
            <w:tcW w:w="1375" w:type="dxa"/>
          </w:tcPr>
          <w:p w14:paraId="62A4ED54" w14:textId="77777777" w:rsidR="00AB2AC2" w:rsidRDefault="00AB2AC2" w:rsidP="003E2B05">
            <w:pPr>
              <w:jc w:val="right"/>
            </w:pPr>
          </w:p>
        </w:tc>
        <w:tc>
          <w:tcPr>
            <w:tcW w:w="1294" w:type="dxa"/>
          </w:tcPr>
          <w:p w14:paraId="6C318B4D" w14:textId="77777777" w:rsidR="00AB2AC2" w:rsidRDefault="00AB2AC2" w:rsidP="003E2B05">
            <w:pPr>
              <w:jc w:val="right"/>
            </w:pPr>
          </w:p>
        </w:tc>
        <w:tc>
          <w:tcPr>
            <w:tcW w:w="1283" w:type="dxa"/>
          </w:tcPr>
          <w:p w14:paraId="43BA04C1" w14:textId="77777777" w:rsidR="00AB2AC2" w:rsidRDefault="00AB2AC2" w:rsidP="003E2B05">
            <w:pPr>
              <w:jc w:val="right"/>
            </w:pPr>
          </w:p>
        </w:tc>
        <w:tc>
          <w:tcPr>
            <w:tcW w:w="1295" w:type="dxa"/>
          </w:tcPr>
          <w:p w14:paraId="52553CA6" w14:textId="77777777" w:rsidR="00AB2AC2" w:rsidRDefault="00AB2AC2" w:rsidP="003E2B05">
            <w:pPr>
              <w:jc w:val="right"/>
            </w:pPr>
          </w:p>
        </w:tc>
      </w:tr>
      <w:tr w:rsidR="00AB2AC2" w14:paraId="04048BA8" w14:textId="77777777" w:rsidTr="003E2B05">
        <w:tc>
          <w:tcPr>
            <w:tcW w:w="1397" w:type="dxa"/>
          </w:tcPr>
          <w:p w14:paraId="697B1583" w14:textId="77777777" w:rsidR="00AB2AC2" w:rsidRDefault="00AB2AC2" w:rsidP="003E2B05">
            <w:r>
              <w:t>Passing</w:t>
            </w:r>
          </w:p>
        </w:tc>
        <w:tc>
          <w:tcPr>
            <w:tcW w:w="1375" w:type="dxa"/>
          </w:tcPr>
          <w:p w14:paraId="31F544AB" w14:textId="77777777" w:rsidR="00AB2AC2" w:rsidRDefault="00AB2AC2" w:rsidP="003E2B05">
            <w:pPr>
              <w:jc w:val="right"/>
            </w:pPr>
            <w:r>
              <w:t>1</w:t>
            </w:r>
          </w:p>
        </w:tc>
        <w:tc>
          <w:tcPr>
            <w:tcW w:w="1294" w:type="dxa"/>
          </w:tcPr>
          <w:p w14:paraId="29581430" w14:textId="77777777" w:rsidR="00AB2AC2" w:rsidRDefault="00AB2AC2" w:rsidP="003E2B05">
            <w:pPr>
              <w:jc w:val="right"/>
            </w:pPr>
            <w:r>
              <w:t>2</w:t>
            </w:r>
          </w:p>
        </w:tc>
        <w:tc>
          <w:tcPr>
            <w:tcW w:w="1283" w:type="dxa"/>
          </w:tcPr>
          <w:p w14:paraId="330B3487" w14:textId="77777777" w:rsidR="00AB2AC2" w:rsidRDefault="00AB2AC2" w:rsidP="003E2B05">
            <w:pPr>
              <w:jc w:val="right"/>
            </w:pPr>
            <w:r>
              <w:t>2</w:t>
            </w:r>
          </w:p>
        </w:tc>
        <w:tc>
          <w:tcPr>
            <w:tcW w:w="1295" w:type="dxa"/>
          </w:tcPr>
          <w:p w14:paraId="4FEAF6A2" w14:textId="77777777" w:rsidR="00AB2AC2" w:rsidRDefault="00AB2AC2" w:rsidP="003E2B05">
            <w:pPr>
              <w:jc w:val="right"/>
            </w:pPr>
            <w:r>
              <w:t>5</w:t>
            </w:r>
          </w:p>
        </w:tc>
      </w:tr>
      <w:tr w:rsidR="00AB2AC2" w14:paraId="422E1254" w14:textId="77777777" w:rsidTr="003E2B05">
        <w:tc>
          <w:tcPr>
            <w:tcW w:w="1397" w:type="dxa"/>
          </w:tcPr>
          <w:p w14:paraId="3D6E679A" w14:textId="77777777" w:rsidR="00AB2AC2" w:rsidRDefault="00AB2AC2" w:rsidP="003E2B05">
            <w:r>
              <w:t>Foundational</w:t>
            </w:r>
          </w:p>
        </w:tc>
        <w:tc>
          <w:tcPr>
            <w:tcW w:w="1375" w:type="dxa"/>
          </w:tcPr>
          <w:p w14:paraId="4F8941EE" w14:textId="77777777" w:rsidR="00AB2AC2" w:rsidRDefault="00AB2AC2" w:rsidP="003E2B05">
            <w:pPr>
              <w:jc w:val="right"/>
            </w:pPr>
            <w:r>
              <w:t>2</w:t>
            </w:r>
          </w:p>
        </w:tc>
        <w:tc>
          <w:tcPr>
            <w:tcW w:w="1294" w:type="dxa"/>
          </w:tcPr>
          <w:p w14:paraId="5FB33022" w14:textId="77777777" w:rsidR="00AB2AC2" w:rsidRDefault="00AB2AC2" w:rsidP="003E2B05">
            <w:pPr>
              <w:jc w:val="right"/>
            </w:pPr>
            <w:r>
              <w:t>1</w:t>
            </w:r>
          </w:p>
        </w:tc>
        <w:tc>
          <w:tcPr>
            <w:tcW w:w="1283" w:type="dxa"/>
          </w:tcPr>
          <w:p w14:paraId="784A7F09" w14:textId="77777777" w:rsidR="00AB2AC2" w:rsidRDefault="00AB2AC2" w:rsidP="003E2B05">
            <w:pPr>
              <w:jc w:val="right"/>
            </w:pPr>
          </w:p>
        </w:tc>
        <w:tc>
          <w:tcPr>
            <w:tcW w:w="1295" w:type="dxa"/>
          </w:tcPr>
          <w:p w14:paraId="5CF871AE" w14:textId="77777777" w:rsidR="00AB2AC2" w:rsidRDefault="00AB2AC2" w:rsidP="003E2B05">
            <w:pPr>
              <w:jc w:val="right"/>
            </w:pPr>
            <w:r>
              <w:t>3</w:t>
            </w:r>
          </w:p>
        </w:tc>
      </w:tr>
      <w:tr w:rsidR="00AB2AC2" w14:paraId="0BCB85C4" w14:textId="77777777" w:rsidTr="003E2B05">
        <w:tc>
          <w:tcPr>
            <w:tcW w:w="1397" w:type="dxa"/>
          </w:tcPr>
          <w:p w14:paraId="7C81EC7D" w14:textId="77777777" w:rsidR="00AB2AC2" w:rsidRDefault="00AB2AC2" w:rsidP="003E2B05">
            <w:r>
              <w:t>Concordat</w:t>
            </w:r>
          </w:p>
        </w:tc>
        <w:tc>
          <w:tcPr>
            <w:tcW w:w="1375" w:type="dxa"/>
          </w:tcPr>
          <w:p w14:paraId="1F5A7EA8" w14:textId="77777777" w:rsidR="00AB2AC2" w:rsidRDefault="00AB2AC2" w:rsidP="003E2B05">
            <w:pPr>
              <w:jc w:val="right"/>
            </w:pPr>
            <w:r>
              <w:t>5</w:t>
            </w:r>
          </w:p>
        </w:tc>
        <w:tc>
          <w:tcPr>
            <w:tcW w:w="1294" w:type="dxa"/>
          </w:tcPr>
          <w:p w14:paraId="6DB9C79F" w14:textId="77777777" w:rsidR="00AB2AC2" w:rsidRDefault="00AB2AC2" w:rsidP="003E2B05">
            <w:pPr>
              <w:jc w:val="right"/>
            </w:pPr>
            <w:r>
              <w:t>4</w:t>
            </w:r>
          </w:p>
        </w:tc>
        <w:tc>
          <w:tcPr>
            <w:tcW w:w="1283" w:type="dxa"/>
          </w:tcPr>
          <w:p w14:paraId="0B2C21BD" w14:textId="77777777" w:rsidR="00AB2AC2" w:rsidRDefault="00AB2AC2" w:rsidP="003E2B05">
            <w:pPr>
              <w:jc w:val="right"/>
            </w:pPr>
          </w:p>
        </w:tc>
        <w:tc>
          <w:tcPr>
            <w:tcW w:w="1295" w:type="dxa"/>
          </w:tcPr>
          <w:p w14:paraId="3717169E" w14:textId="77777777" w:rsidR="00AB2AC2" w:rsidRDefault="00AB2AC2" w:rsidP="003E2B05">
            <w:pPr>
              <w:jc w:val="right"/>
            </w:pPr>
            <w:r>
              <w:t>9</w:t>
            </w:r>
          </w:p>
        </w:tc>
      </w:tr>
      <w:tr w:rsidR="00AB2AC2" w14:paraId="4F7D462D" w14:textId="77777777" w:rsidTr="003E2B05">
        <w:tc>
          <w:tcPr>
            <w:tcW w:w="1397" w:type="dxa"/>
          </w:tcPr>
          <w:p w14:paraId="19D765EE" w14:textId="77777777" w:rsidR="00AB2AC2" w:rsidRDefault="00AB2AC2" w:rsidP="003E2B05">
            <w:r>
              <w:t>Legal Rights</w:t>
            </w:r>
          </w:p>
        </w:tc>
        <w:tc>
          <w:tcPr>
            <w:tcW w:w="1375" w:type="dxa"/>
          </w:tcPr>
          <w:p w14:paraId="776E1800" w14:textId="77777777" w:rsidR="00AB2AC2" w:rsidRDefault="00AB2AC2" w:rsidP="003E2B05">
            <w:pPr>
              <w:jc w:val="right"/>
            </w:pPr>
            <w:r>
              <w:t>2</w:t>
            </w:r>
          </w:p>
        </w:tc>
        <w:tc>
          <w:tcPr>
            <w:tcW w:w="1294" w:type="dxa"/>
          </w:tcPr>
          <w:p w14:paraId="559BAF36" w14:textId="77777777" w:rsidR="00AB2AC2" w:rsidRDefault="00AB2AC2" w:rsidP="003E2B05">
            <w:pPr>
              <w:jc w:val="right"/>
            </w:pPr>
            <w:r>
              <w:t>1</w:t>
            </w:r>
          </w:p>
        </w:tc>
        <w:tc>
          <w:tcPr>
            <w:tcW w:w="1283" w:type="dxa"/>
          </w:tcPr>
          <w:p w14:paraId="509D8428" w14:textId="77777777" w:rsidR="00AB2AC2" w:rsidRDefault="00AB2AC2" w:rsidP="003E2B05">
            <w:pPr>
              <w:jc w:val="right"/>
            </w:pPr>
            <w:r>
              <w:t>3</w:t>
            </w:r>
          </w:p>
        </w:tc>
        <w:tc>
          <w:tcPr>
            <w:tcW w:w="1295" w:type="dxa"/>
          </w:tcPr>
          <w:p w14:paraId="45E3CEB1" w14:textId="77777777" w:rsidR="00AB2AC2" w:rsidRDefault="00AB2AC2" w:rsidP="003E2B05">
            <w:pPr>
              <w:jc w:val="right"/>
            </w:pPr>
            <w:r>
              <w:t>6</w:t>
            </w:r>
          </w:p>
        </w:tc>
      </w:tr>
      <w:tr w:rsidR="00AB2AC2" w14:paraId="3BA40699" w14:textId="77777777" w:rsidTr="003E2B05">
        <w:tc>
          <w:tcPr>
            <w:tcW w:w="1397" w:type="dxa"/>
          </w:tcPr>
          <w:p w14:paraId="13F9F914" w14:textId="77777777" w:rsidR="00AB2AC2" w:rsidRDefault="00AB2AC2" w:rsidP="003E2B05">
            <w:r>
              <w:t>Undermined</w:t>
            </w:r>
          </w:p>
        </w:tc>
        <w:tc>
          <w:tcPr>
            <w:tcW w:w="1375" w:type="dxa"/>
          </w:tcPr>
          <w:p w14:paraId="77D527BD" w14:textId="77777777" w:rsidR="00AB2AC2" w:rsidRDefault="00AB2AC2" w:rsidP="003E2B05">
            <w:pPr>
              <w:jc w:val="right"/>
            </w:pPr>
          </w:p>
        </w:tc>
        <w:tc>
          <w:tcPr>
            <w:tcW w:w="1294" w:type="dxa"/>
          </w:tcPr>
          <w:p w14:paraId="476275B2" w14:textId="77777777" w:rsidR="00AB2AC2" w:rsidRDefault="00AB2AC2" w:rsidP="003E2B05">
            <w:pPr>
              <w:jc w:val="right"/>
            </w:pPr>
            <w:r>
              <w:t>1</w:t>
            </w:r>
          </w:p>
        </w:tc>
        <w:tc>
          <w:tcPr>
            <w:tcW w:w="1283" w:type="dxa"/>
          </w:tcPr>
          <w:p w14:paraId="274A0735" w14:textId="77777777" w:rsidR="00AB2AC2" w:rsidRDefault="00AB2AC2" w:rsidP="003E2B05">
            <w:pPr>
              <w:jc w:val="right"/>
            </w:pPr>
          </w:p>
        </w:tc>
        <w:tc>
          <w:tcPr>
            <w:tcW w:w="1295" w:type="dxa"/>
          </w:tcPr>
          <w:p w14:paraId="5E03320D" w14:textId="77777777" w:rsidR="00AB2AC2" w:rsidRDefault="00AB2AC2" w:rsidP="003E2B05">
            <w:pPr>
              <w:jc w:val="right"/>
            </w:pPr>
            <w:r>
              <w:t>1</w:t>
            </w:r>
          </w:p>
        </w:tc>
      </w:tr>
      <w:tr w:rsidR="00AB2AC2" w14:paraId="7353BD5C" w14:textId="77777777" w:rsidTr="003E2B05">
        <w:tc>
          <w:tcPr>
            <w:tcW w:w="1397" w:type="dxa"/>
          </w:tcPr>
          <w:p w14:paraId="1E9DE850" w14:textId="77777777" w:rsidR="00AB2AC2" w:rsidRDefault="00AB2AC2" w:rsidP="003E2B05">
            <w:r>
              <w:t>TOTAL</w:t>
            </w:r>
          </w:p>
        </w:tc>
        <w:tc>
          <w:tcPr>
            <w:tcW w:w="1375" w:type="dxa"/>
          </w:tcPr>
          <w:p w14:paraId="2AE5F88A" w14:textId="77777777" w:rsidR="00AB2AC2" w:rsidRDefault="00AB2AC2" w:rsidP="003E2B05">
            <w:pPr>
              <w:jc w:val="right"/>
            </w:pPr>
            <w:r>
              <w:t>10</w:t>
            </w:r>
          </w:p>
        </w:tc>
        <w:tc>
          <w:tcPr>
            <w:tcW w:w="1294" w:type="dxa"/>
          </w:tcPr>
          <w:p w14:paraId="537C97CE" w14:textId="77777777" w:rsidR="00AB2AC2" w:rsidRDefault="00AB2AC2" w:rsidP="003E2B05">
            <w:pPr>
              <w:jc w:val="right"/>
            </w:pPr>
            <w:r>
              <w:t>9</w:t>
            </w:r>
          </w:p>
        </w:tc>
        <w:tc>
          <w:tcPr>
            <w:tcW w:w="1283" w:type="dxa"/>
          </w:tcPr>
          <w:p w14:paraId="6DD89339" w14:textId="77777777" w:rsidR="00AB2AC2" w:rsidRDefault="00AB2AC2" w:rsidP="003E2B05">
            <w:pPr>
              <w:jc w:val="right"/>
            </w:pPr>
            <w:r>
              <w:t>5</w:t>
            </w:r>
          </w:p>
        </w:tc>
        <w:tc>
          <w:tcPr>
            <w:tcW w:w="1295" w:type="dxa"/>
          </w:tcPr>
          <w:p w14:paraId="2894E64C" w14:textId="77777777" w:rsidR="00AB2AC2" w:rsidRDefault="00AB2AC2" w:rsidP="003E2B05">
            <w:pPr>
              <w:jc w:val="right"/>
            </w:pPr>
            <w:r>
              <w:t>24</w:t>
            </w:r>
          </w:p>
        </w:tc>
      </w:tr>
      <w:tr w:rsidR="00AB2AC2" w14:paraId="085F3875" w14:textId="77777777" w:rsidTr="003E2B05">
        <w:tc>
          <w:tcPr>
            <w:tcW w:w="1397" w:type="dxa"/>
          </w:tcPr>
          <w:p w14:paraId="6E9464C3" w14:textId="77777777" w:rsidR="00AB2AC2" w:rsidRPr="00EB0E8E" w:rsidRDefault="00AB2AC2" w:rsidP="003E2B05">
            <w:pPr>
              <w:rPr>
                <w:b/>
              </w:rPr>
            </w:pPr>
            <w:r>
              <w:rPr>
                <w:b/>
              </w:rPr>
              <w:t>Subject of reference</w:t>
            </w:r>
          </w:p>
        </w:tc>
        <w:tc>
          <w:tcPr>
            <w:tcW w:w="1375" w:type="dxa"/>
          </w:tcPr>
          <w:p w14:paraId="4DEA6DDF" w14:textId="77777777" w:rsidR="00AB2AC2" w:rsidRDefault="00AB2AC2" w:rsidP="003E2B05">
            <w:pPr>
              <w:jc w:val="right"/>
            </w:pPr>
          </w:p>
        </w:tc>
        <w:tc>
          <w:tcPr>
            <w:tcW w:w="1294" w:type="dxa"/>
          </w:tcPr>
          <w:p w14:paraId="3585E68B" w14:textId="77777777" w:rsidR="00AB2AC2" w:rsidRDefault="00AB2AC2" w:rsidP="003E2B05">
            <w:pPr>
              <w:jc w:val="right"/>
            </w:pPr>
          </w:p>
        </w:tc>
        <w:tc>
          <w:tcPr>
            <w:tcW w:w="1283" w:type="dxa"/>
          </w:tcPr>
          <w:p w14:paraId="6CEA36DD" w14:textId="77777777" w:rsidR="00AB2AC2" w:rsidRDefault="00AB2AC2" w:rsidP="003E2B05">
            <w:pPr>
              <w:jc w:val="right"/>
            </w:pPr>
          </w:p>
        </w:tc>
        <w:tc>
          <w:tcPr>
            <w:tcW w:w="1295" w:type="dxa"/>
          </w:tcPr>
          <w:p w14:paraId="7047AA5A" w14:textId="77777777" w:rsidR="00AB2AC2" w:rsidRDefault="00AB2AC2" w:rsidP="003E2B05">
            <w:pPr>
              <w:jc w:val="right"/>
            </w:pPr>
          </w:p>
        </w:tc>
      </w:tr>
      <w:tr w:rsidR="00AB2AC2" w14:paraId="4526C268" w14:textId="77777777" w:rsidTr="003E2B05">
        <w:tc>
          <w:tcPr>
            <w:tcW w:w="1397" w:type="dxa"/>
          </w:tcPr>
          <w:p w14:paraId="48059A6C" w14:textId="77777777" w:rsidR="00AB2AC2" w:rsidRDefault="00AB2AC2" w:rsidP="003E2B05">
            <w:r>
              <w:t>Empire (general)</w:t>
            </w:r>
          </w:p>
        </w:tc>
        <w:tc>
          <w:tcPr>
            <w:tcW w:w="1375" w:type="dxa"/>
          </w:tcPr>
          <w:p w14:paraId="1A020ABC" w14:textId="77777777" w:rsidR="00AB2AC2" w:rsidRDefault="00AB2AC2" w:rsidP="003E2B05">
            <w:pPr>
              <w:jc w:val="right"/>
            </w:pPr>
            <w:r>
              <w:t>1</w:t>
            </w:r>
          </w:p>
        </w:tc>
        <w:tc>
          <w:tcPr>
            <w:tcW w:w="1294" w:type="dxa"/>
          </w:tcPr>
          <w:p w14:paraId="5B629E8B" w14:textId="77777777" w:rsidR="00AB2AC2" w:rsidRDefault="00AB2AC2" w:rsidP="003E2B05">
            <w:pPr>
              <w:jc w:val="right"/>
            </w:pPr>
            <w:r>
              <w:t>2</w:t>
            </w:r>
          </w:p>
        </w:tc>
        <w:tc>
          <w:tcPr>
            <w:tcW w:w="1283" w:type="dxa"/>
          </w:tcPr>
          <w:p w14:paraId="716928F0" w14:textId="77777777" w:rsidR="00AB2AC2" w:rsidRDefault="00AB2AC2" w:rsidP="003E2B05">
            <w:pPr>
              <w:jc w:val="right"/>
            </w:pPr>
          </w:p>
        </w:tc>
        <w:tc>
          <w:tcPr>
            <w:tcW w:w="1295" w:type="dxa"/>
          </w:tcPr>
          <w:p w14:paraId="6A547559" w14:textId="77777777" w:rsidR="00AB2AC2" w:rsidRDefault="00AB2AC2" w:rsidP="003E2B05">
            <w:pPr>
              <w:jc w:val="right"/>
            </w:pPr>
            <w:r>
              <w:t>3</w:t>
            </w:r>
          </w:p>
        </w:tc>
      </w:tr>
      <w:tr w:rsidR="00AB2AC2" w14:paraId="1060C917" w14:textId="77777777" w:rsidTr="003E2B05">
        <w:tc>
          <w:tcPr>
            <w:tcW w:w="1397" w:type="dxa"/>
          </w:tcPr>
          <w:p w14:paraId="7AFCD8E8" w14:textId="77777777" w:rsidR="00AB2AC2" w:rsidRDefault="00AB2AC2" w:rsidP="003E2B05">
            <w:r>
              <w:t>Finance</w:t>
            </w:r>
          </w:p>
        </w:tc>
        <w:tc>
          <w:tcPr>
            <w:tcW w:w="1375" w:type="dxa"/>
          </w:tcPr>
          <w:p w14:paraId="511A4746" w14:textId="77777777" w:rsidR="00AB2AC2" w:rsidRDefault="00AB2AC2" w:rsidP="003E2B05">
            <w:pPr>
              <w:jc w:val="right"/>
            </w:pPr>
            <w:r>
              <w:t>6</w:t>
            </w:r>
          </w:p>
        </w:tc>
        <w:tc>
          <w:tcPr>
            <w:tcW w:w="1294" w:type="dxa"/>
          </w:tcPr>
          <w:p w14:paraId="782D202B" w14:textId="77777777" w:rsidR="00AB2AC2" w:rsidRDefault="00AB2AC2" w:rsidP="003E2B05">
            <w:pPr>
              <w:jc w:val="right"/>
            </w:pPr>
            <w:r>
              <w:t>2</w:t>
            </w:r>
          </w:p>
        </w:tc>
        <w:tc>
          <w:tcPr>
            <w:tcW w:w="1283" w:type="dxa"/>
          </w:tcPr>
          <w:p w14:paraId="7638065B" w14:textId="77777777" w:rsidR="00AB2AC2" w:rsidRDefault="00AB2AC2" w:rsidP="003E2B05">
            <w:pPr>
              <w:jc w:val="right"/>
            </w:pPr>
          </w:p>
        </w:tc>
        <w:tc>
          <w:tcPr>
            <w:tcW w:w="1295" w:type="dxa"/>
          </w:tcPr>
          <w:p w14:paraId="5E58D142" w14:textId="77777777" w:rsidR="00AB2AC2" w:rsidRDefault="00AB2AC2" w:rsidP="003E2B05">
            <w:pPr>
              <w:jc w:val="right"/>
            </w:pPr>
            <w:r>
              <w:t>8</w:t>
            </w:r>
          </w:p>
        </w:tc>
      </w:tr>
      <w:tr w:rsidR="00AB2AC2" w14:paraId="5AAE1542" w14:textId="77777777" w:rsidTr="003E2B05">
        <w:tc>
          <w:tcPr>
            <w:tcW w:w="1397" w:type="dxa"/>
          </w:tcPr>
          <w:p w14:paraId="6C0F3159" w14:textId="77777777" w:rsidR="00AB2AC2" w:rsidRDefault="00AB2AC2" w:rsidP="003E2B05">
            <w:r>
              <w:t>Ireland</w:t>
            </w:r>
          </w:p>
        </w:tc>
        <w:tc>
          <w:tcPr>
            <w:tcW w:w="1375" w:type="dxa"/>
          </w:tcPr>
          <w:p w14:paraId="1DE513CD" w14:textId="77777777" w:rsidR="00AB2AC2" w:rsidRDefault="00AB2AC2" w:rsidP="003E2B05">
            <w:pPr>
              <w:jc w:val="right"/>
            </w:pPr>
            <w:r>
              <w:t>1</w:t>
            </w:r>
          </w:p>
        </w:tc>
        <w:tc>
          <w:tcPr>
            <w:tcW w:w="1294" w:type="dxa"/>
          </w:tcPr>
          <w:p w14:paraId="78356BAC" w14:textId="77777777" w:rsidR="00AB2AC2" w:rsidRDefault="00AB2AC2" w:rsidP="003E2B05">
            <w:pPr>
              <w:jc w:val="right"/>
            </w:pPr>
            <w:r>
              <w:t>3</w:t>
            </w:r>
          </w:p>
        </w:tc>
        <w:tc>
          <w:tcPr>
            <w:tcW w:w="1283" w:type="dxa"/>
          </w:tcPr>
          <w:p w14:paraId="34709B46" w14:textId="77777777" w:rsidR="00AB2AC2" w:rsidRDefault="00AB2AC2" w:rsidP="003E2B05">
            <w:pPr>
              <w:jc w:val="right"/>
            </w:pPr>
            <w:r>
              <w:t>4</w:t>
            </w:r>
          </w:p>
        </w:tc>
        <w:tc>
          <w:tcPr>
            <w:tcW w:w="1295" w:type="dxa"/>
          </w:tcPr>
          <w:p w14:paraId="5F019496" w14:textId="77777777" w:rsidR="00AB2AC2" w:rsidRDefault="00AB2AC2" w:rsidP="003E2B05">
            <w:pPr>
              <w:jc w:val="right"/>
            </w:pPr>
            <w:r>
              <w:t>8</w:t>
            </w:r>
          </w:p>
        </w:tc>
      </w:tr>
      <w:tr w:rsidR="00AB2AC2" w14:paraId="246EB237" w14:textId="77777777" w:rsidTr="003E2B05">
        <w:tc>
          <w:tcPr>
            <w:tcW w:w="1397" w:type="dxa"/>
          </w:tcPr>
          <w:p w14:paraId="63726BDA" w14:textId="77777777" w:rsidR="00AB2AC2" w:rsidRDefault="00AB2AC2" w:rsidP="003E2B05">
            <w:r>
              <w:t>Parliament and Constitution</w:t>
            </w:r>
          </w:p>
        </w:tc>
        <w:tc>
          <w:tcPr>
            <w:tcW w:w="1375" w:type="dxa"/>
          </w:tcPr>
          <w:p w14:paraId="37A07319" w14:textId="77777777" w:rsidR="00AB2AC2" w:rsidRDefault="00AB2AC2" w:rsidP="003E2B05">
            <w:pPr>
              <w:jc w:val="right"/>
            </w:pPr>
            <w:r>
              <w:t>1</w:t>
            </w:r>
          </w:p>
        </w:tc>
        <w:tc>
          <w:tcPr>
            <w:tcW w:w="1294" w:type="dxa"/>
          </w:tcPr>
          <w:p w14:paraId="216C44F3" w14:textId="77777777" w:rsidR="00AB2AC2" w:rsidRDefault="00AB2AC2" w:rsidP="003E2B05">
            <w:pPr>
              <w:jc w:val="right"/>
            </w:pPr>
          </w:p>
        </w:tc>
        <w:tc>
          <w:tcPr>
            <w:tcW w:w="1283" w:type="dxa"/>
          </w:tcPr>
          <w:p w14:paraId="519DE0F6" w14:textId="77777777" w:rsidR="00AB2AC2" w:rsidRDefault="00AB2AC2" w:rsidP="003E2B05">
            <w:pPr>
              <w:jc w:val="right"/>
            </w:pPr>
            <w:r>
              <w:t>1</w:t>
            </w:r>
          </w:p>
        </w:tc>
        <w:tc>
          <w:tcPr>
            <w:tcW w:w="1295" w:type="dxa"/>
          </w:tcPr>
          <w:p w14:paraId="30CC3089" w14:textId="77777777" w:rsidR="00AB2AC2" w:rsidRDefault="00AB2AC2" w:rsidP="003E2B05">
            <w:pPr>
              <w:jc w:val="right"/>
            </w:pPr>
            <w:r>
              <w:t>2</w:t>
            </w:r>
          </w:p>
        </w:tc>
      </w:tr>
      <w:tr w:rsidR="00AB2AC2" w14:paraId="0809BFC4" w14:textId="77777777" w:rsidTr="003E2B05">
        <w:tc>
          <w:tcPr>
            <w:tcW w:w="1397" w:type="dxa"/>
          </w:tcPr>
          <w:p w14:paraId="45B7B588" w14:textId="77777777" w:rsidR="00AB2AC2" w:rsidRDefault="00AB2AC2" w:rsidP="003E2B05">
            <w:r>
              <w:t>South Africa</w:t>
            </w:r>
          </w:p>
        </w:tc>
        <w:tc>
          <w:tcPr>
            <w:tcW w:w="1375" w:type="dxa"/>
          </w:tcPr>
          <w:p w14:paraId="33BBFC2C" w14:textId="77777777" w:rsidR="00AB2AC2" w:rsidRDefault="00AB2AC2" w:rsidP="003E2B05">
            <w:pPr>
              <w:jc w:val="right"/>
            </w:pPr>
            <w:r>
              <w:t>1</w:t>
            </w:r>
          </w:p>
        </w:tc>
        <w:tc>
          <w:tcPr>
            <w:tcW w:w="1294" w:type="dxa"/>
          </w:tcPr>
          <w:p w14:paraId="4DC5EEB0" w14:textId="77777777" w:rsidR="00AB2AC2" w:rsidRDefault="00AB2AC2" w:rsidP="003E2B05">
            <w:pPr>
              <w:jc w:val="right"/>
            </w:pPr>
          </w:p>
        </w:tc>
        <w:tc>
          <w:tcPr>
            <w:tcW w:w="1283" w:type="dxa"/>
          </w:tcPr>
          <w:p w14:paraId="3D62B373" w14:textId="77777777" w:rsidR="00AB2AC2" w:rsidRDefault="00AB2AC2" w:rsidP="003E2B05">
            <w:pPr>
              <w:jc w:val="right"/>
            </w:pPr>
          </w:p>
        </w:tc>
        <w:tc>
          <w:tcPr>
            <w:tcW w:w="1295" w:type="dxa"/>
          </w:tcPr>
          <w:p w14:paraId="0E8B10A2" w14:textId="77777777" w:rsidR="00AB2AC2" w:rsidRDefault="00AB2AC2" w:rsidP="003E2B05">
            <w:pPr>
              <w:jc w:val="right"/>
            </w:pPr>
            <w:r>
              <w:t>1</w:t>
            </w:r>
          </w:p>
        </w:tc>
      </w:tr>
      <w:tr w:rsidR="00AB2AC2" w14:paraId="2C6234AC" w14:textId="77777777" w:rsidTr="003E2B05">
        <w:tc>
          <w:tcPr>
            <w:tcW w:w="1397" w:type="dxa"/>
          </w:tcPr>
          <w:p w14:paraId="790E7C6B" w14:textId="77777777" w:rsidR="00AB2AC2" w:rsidRDefault="00AB2AC2" w:rsidP="003E2B05">
            <w:r>
              <w:t>Other</w:t>
            </w:r>
          </w:p>
        </w:tc>
        <w:tc>
          <w:tcPr>
            <w:tcW w:w="1375" w:type="dxa"/>
          </w:tcPr>
          <w:p w14:paraId="3BC81A3E" w14:textId="77777777" w:rsidR="00AB2AC2" w:rsidRDefault="00AB2AC2" w:rsidP="003E2B05">
            <w:pPr>
              <w:jc w:val="right"/>
            </w:pPr>
          </w:p>
        </w:tc>
        <w:tc>
          <w:tcPr>
            <w:tcW w:w="1294" w:type="dxa"/>
          </w:tcPr>
          <w:p w14:paraId="06A3A2A8" w14:textId="77777777" w:rsidR="00AB2AC2" w:rsidRDefault="00AB2AC2" w:rsidP="003E2B05">
            <w:pPr>
              <w:jc w:val="right"/>
            </w:pPr>
            <w:r>
              <w:t>2</w:t>
            </w:r>
          </w:p>
        </w:tc>
        <w:tc>
          <w:tcPr>
            <w:tcW w:w="1283" w:type="dxa"/>
          </w:tcPr>
          <w:p w14:paraId="4EA3AA3F" w14:textId="77777777" w:rsidR="00AB2AC2" w:rsidRDefault="00AB2AC2" w:rsidP="003E2B05">
            <w:pPr>
              <w:jc w:val="right"/>
            </w:pPr>
          </w:p>
        </w:tc>
        <w:tc>
          <w:tcPr>
            <w:tcW w:w="1295" w:type="dxa"/>
          </w:tcPr>
          <w:p w14:paraId="77C71AF6" w14:textId="77777777" w:rsidR="00AB2AC2" w:rsidRDefault="00AB2AC2" w:rsidP="003E2B05">
            <w:pPr>
              <w:jc w:val="right"/>
            </w:pPr>
            <w:r>
              <w:t>2</w:t>
            </w:r>
          </w:p>
        </w:tc>
      </w:tr>
    </w:tbl>
    <w:p w14:paraId="4E8B7423" w14:textId="77777777" w:rsidR="00AB2AC2" w:rsidRDefault="00AB2AC2" w:rsidP="00AB2AC2"/>
    <w:p w14:paraId="56F351C2" w14:textId="77777777" w:rsidR="00AB2AC2" w:rsidRPr="00053722" w:rsidRDefault="00AB2AC2" w:rsidP="00AB2AC2">
      <w:pPr>
        <w:rPr>
          <w:b/>
        </w:rPr>
      </w:pPr>
      <w:r>
        <w:rPr>
          <w:b/>
        </w:rPr>
        <w:lastRenderedPageBreak/>
        <w:t>TABLE 2: References in Parliament by party, type and subject December 1905 - July 1914 (under the Liberal government)</w:t>
      </w:r>
    </w:p>
    <w:tbl>
      <w:tblPr>
        <w:tblStyle w:val="TableGrid"/>
        <w:tblW w:w="0" w:type="auto"/>
        <w:tblLook w:val="04A0" w:firstRow="1" w:lastRow="0" w:firstColumn="1" w:lastColumn="0" w:noHBand="0" w:noVBand="1"/>
      </w:tblPr>
      <w:tblGrid>
        <w:gridCol w:w="1398"/>
        <w:gridCol w:w="1375"/>
        <w:gridCol w:w="1141"/>
        <w:gridCol w:w="1067"/>
        <w:gridCol w:w="958"/>
        <w:gridCol w:w="1078"/>
        <w:gridCol w:w="1069"/>
        <w:gridCol w:w="1156"/>
      </w:tblGrid>
      <w:tr w:rsidR="00AB2AC2" w14:paraId="58B890C1" w14:textId="77777777" w:rsidTr="00AB2AC2">
        <w:tc>
          <w:tcPr>
            <w:tcW w:w="1398" w:type="dxa"/>
          </w:tcPr>
          <w:p w14:paraId="4F9460A8" w14:textId="77777777" w:rsidR="00AB2AC2" w:rsidRDefault="00AB2AC2" w:rsidP="003E2B05">
            <w:bookmarkStart w:id="0" w:name="_GoBack"/>
            <w:bookmarkEnd w:id="0"/>
            <w:r>
              <w:t>Party</w:t>
            </w:r>
          </w:p>
        </w:tc>
        <w:tc>
          <w:tcPr>
            <w:tcW w:w="1375" w:type="dxa"/>
          </w:tcPr>
          <w:p w14:paraId="0A4CFD6D" w14:textId="77777777" w:rsidR="00AB2AC2" w:rsidRDefault="00AB2AC2" w:rsidP="003E2B05">
            <w:r>
              <w:t>Conservative</w:t>
            </w:r>
          </w:p>
        </w:tc>
        <w:tc>
          <w:tcPr>
            <w:tcW w:w="1141" w:type="dxa"/>
          </w:tcPr>
          <w:p w14:paraId="46A303C2" w14:textId="77777777" w:rsidR="00AB2AC2" w:rsidRDefault="00AB2AC2" w:rsidP="003E2B05">
            <w:r>
              <w:t>Liberal Unionist</w:t>
            </w:r>
          </w:p>
        </w:tc>
        <w:tc>
          <w:tcPr>
            <w:tcW w:w="1067" w:type="dxa"/>
          </w:tcPr>
          <w:p w14:paraId="76D3F60D" w14:textId="77777777" w:rsidR="00AB2AC2" w:rsidRDefault="00AB2AC2" w:rsidP="003E2B05">
            <w:r>
              <w:t>Liberal</w:t>
            </w:r>
          </w:p>
        </w:tc>
        <w:tc>
          <w:tcPr>
            <w:tcW w:w="958" w:type="dxa"/>
          </w:tcPr>
          <w:p w14:paraId="3C9342FD" w14:textId="77777777" w:rsidR="00AB2AC2" w:rsidRDefault="00AB2AC2" w:rsidP="003E2B05">
            <w:r>
              <w:t>Irish</w:t>
            </w:r>
          </w:p>
        </w:tc>
        <w:tc>
          <w:tcPr>
            <w:tcW w:w="1078" w:type="dxa"/>
          </w:tcPr>
          <w:p w14:paraId="787DBDE5" w14:textId="77777777" w:rsidR="00AB2AC2" w:rsidRDefault="00AB2AC2" w:rsidP="003E2B05">
            <w:r>
              <w:t>Labour</w:t>
            </w:r>
          </w:p>
        </w:tc>
        <w:tc>
          <w:tcPr>
            <w:tcW w:w="1069" w:type="dxa"/>
          </w:tcPr>
          <w:p w14:paraId="0AEB002B" w14:textId="77777777" w:rsidR="00AB2AC2" w:rsidRDefault="00AB2AC2" w:rsidP="003E2B05">
            <w:r>
              <w:t>Bishop</w:t>
            </w:r>
          </w:p>
        </w:tc>
        <w:tc>
          <w:tcPr>
            <w:tcW w:w="1156" w:type="dxa"/>
          </w:tcPr>
          <w:p w14:paraId="74721C67" w14:textId="77777777" w:rsidR="00AB2AC2" w:rsidRDefault="00AB2AC2" w:rsidP="003E2B05">
            <w:pPr>
              <w:pStyle w:val="ListBullet"/>
              <w:numPr>
                <w:ilvl w:val="0"/>
                <w:numId w:val="0"/>
              </w:numPr>
              <w:ind w:left="360"/>
            </w:pPr>
            <w:r>
              <w:t>TOTAL</w:t>
            </w:r>
          </w:p>
        </w:tc>
      </w:tr>
      <w:tr w:rsidR="00AB2AC2" w14:paraId="407CE239" w14:textId="77777777" w:rsidTr="00AB2AC2">
        <w:tc>
          <w:tcPr>
            <w:tcW w:w="1398" w:type="dxa"/>
          </w:tcPr>
          <w:p w14:paraId="3B962756" w14:textId="77777777" w:rsidR="00AB2AC2" w:rsidRPr="00EB0E8E" w:rsidRDefault="00AB2AC2" w:rsidP="003E2B05">
            <w:pPr>
              <w:rPr>
                <w:b/>
              </w:rPr>
            </w:pPr>
            <w:r>
              <w:rPr>
                <w:b/>
              </w:rPr>
              <w:t>Types of reference</w:t>
            </w:r>
          </w:p>
        </w:tc>
        <w:tc>
          <w:tcPr>
            <w:tcW w:w="1375" w:type="dxa"/>
          </w:tcPr>
          <w:p w14:paraId="0A6FE550" w14:textId="77777777" w:rsidR="00AB2AC2" w:rsidRDefault="00AB2AC2" w:rsidP="003E2B05">
            <w:pPr>
              <w:jc w:val="right"/>
            </w:pPr>
          </w:p>
        </w:tc>
        <w:tc>
          <w:tcPr>
            <w:tcW w:w="1141" w:type="dxa"/>
          </w:tcPr>
          <w:p w14:paraId="01BCE417" w14:textId="77777777" w:rsidR="00AB2AC2" w:rsidRDefault="00AB2AC2" w:rsidP="003E2B05">
            <w:pPr>
              <w:jc w:val="right"/>
            </w:pPr>
          </w:p>
        </w:tc>
        <w:tc>
          <w:tcPr>
            <w:tcW w:w="1067" w:type="dxa"/>
          </w:tcPr>
          <w:p w14:paraId="4686F868" w14:textId="77777777" w:rsidR="00AB2AC2" w:rsidRDefault="00AB2AC2" w:rsidP="003E2B05">
            <w:pPr>
              <w:jc w:val="right"/>
            </w:pPr>
          </w:p>
        </w:tc>
        <w:tc>
          <w:tcPr>
            <w:tcW w:w="958" w:type="dxa"/>
          </w:tcPr>
          <w:p w14:paraId="42F49483" w14:textId="77777777" w:rsidR="00AB2AC2" w:rsidRDefault="00AB2AC2" w:rsidP="003E2B05">
            <w:pPr>
              <w:jc w:val="right"/>
            </w:pPr>
          </w:p>
        </w:tc>
        <w:tc>
          <w:tcPr>
            <w:tcW w:w="1078" w:type="dxa"/>
          </w:tcPr>
          <w:p w14:paraId="3BF23131" w14:textId="77777777" w:rsidR="00AB2AC2" w:rsidRDefault="00AB2AC2" w:rsidP="003E2B05">
            <w:pPr>
              <w:jc w:val="right"/>
            </w:pPr>
          </w:p>
        </w:tc>
        <w:tc>
          <w:tcPr>
            <w:tcW w:w="1069" w:type="dxa"/>
          </w:tcPr>
          <w:p w14:paraId="55560934" w14:textId="77777777" w:rsidR="00AB2AC2" w:rsidRDefault="00AB2AC2" w:rsidP="003E2B05">
            <w:pPr>
              <w:jc w:val="right"/>
            </w:pPr>
          </w:p>
        </w:tc>
        <w:tc>
          <w:tcPr>
            <w:tcW w:w="1156" w:type="dxa"/>
          </w:tcPr>
          <w:p w14:paraId="60ABF903" w14:textId="77777777" w:rsidR="00AB2AC2" w:rsidRDefault="00AB2AC2" w:rsidP="003E2B05">
            <w:pPr>
              <w:jc w:val="right"/>
            </w:pPr>
          </w:p>
        </w:tc>
      </w:tr>
      <w:tr w:rsidR="00AB2AC2" w14:paraId="62F876A8" w14:textId="77777777" w:rsidTr="00AB2AC2">
        <w:tc>
          <w:tcPr>
            <w:tcW w:w="1398" w:type="dxa"/>
          </w:tcPr>
          <w:p w14:paraId="11FF8165" w14:textId="77777777" w:rsidR="00AB2AC2" w:rsidRDefault="00AB2AC2" w:rsidP="003E2B05">
            <w:r>
              <w:t>Passing</w:t>
            </w:r>
          </w:p>
        </w:tc>
        <w:tc>
          <w:tcPr>
            <w:tcW w:w="1375" w:type="dxa"/>
          </w:tcPr>
          <w:p w14:paraId="1213CD9F" w14:textId="77777777" w:rsidR="00AB2AC2" w:rsidRDefault="00AB2AC2" w:rsidP="003E2B05">
            <w:pPr>
              <w:jc w:val="right"/>
            </w:pPr>
            <w:r>
              <w:t>8</w:t>
            </w:r>
          </w:p>
        </w:tc>
        <w:tc>
          <w:tcPr>
            <w:tcW w:w="1141" w:type="dxa"/>
          </w:tcPr>
          <w:p w14:paraId="1CC3FCA5" w14:textId="77777777" w:rsidR="00AB2AC2" w:rsidRDefault="00AB2AC2" w:rsidP="003E2B05">
            <w:pPr>
              <w:jc w:val="right"/>
            </w:pPr>
            <w:r>
              <w:t>2</w:t>
            </w:r>
          </w:p>
        </w:tc>
        <w:tc>
          <w:tcPr>
            <w:tcW w:w="1067" w:type="dxa"/>
          </w:tcPr>
          <w:p w14:paraId="25BFFC0B" w14:textId="77777777" w:rsidR="00AB2AC2" w:rsidRDefault="00AB2AC2" w:rsidP="003E2B05">
            <w:pPr>
              <w:jc w:val="right"/>
            </w:pPr>
            <w:r>
              <w:t>12</w:t>
            </w:r>
          </w:p>
        </w:tc>
        <w:tc>
          <w:tcPr>
            <w:tcW w:w="958" w:type="dxa"/>
          </w:tcPr>
          <w:p w14:paraId="5134EB04" w14:textId="77777777" w:rsidR="00AB2AC2" w:rsidRDefault="00AB2AC2" w:rsidP="003E2B05">
            <w:pPr>
              <w:jc w:val="right"/>
            </w:pPr>
            <w:r>
              <w:t>1</w:t>
            </w:r>
          </w:p>
        </w:tc>
        <w:tc>
          <w:tcPr>
            <w:tcW w:w="1078" w:type="dxa"/>
          </w:tcPr>
          <w:p w14:paraId="7628DB0E" w14:textId="77777777" w:rsidR="00AB2AC2" w:rsidRDefault="00AB2AC2" w:rsidP="003E2B05">
            <w:pPr>
              <w:jc w:val="right"/>
            </w:pPr>
            <w:r>
              <w:t>1</w:t>
            </w:r>
          </w:p>
        </w:tc>
        <w:tc>
          <w:tcPr>
            <w:tcW w:w="1069" w:type="dxa"/>
          </w:tcPr>
          <w:p w14:paraId="1868A9CA" w14:textId="77777777" w:rsidR="00AB2AC2" w:rsidRDefault="00AB2AC2" w:rsidP="003E2B05">
            <w:pPr>
              <w:jc w:val="right"/>
            </w:pPr>
            <w:r>
              <w:t>1</w:t>
            </w:r>
          </w:p>
        </w:tc>
        <w:tc>
          <w:tcPr>
            <w:tcW w:w="1156" w:type="dxa"/>
          </w:tcPr>
          <w:p w14:paraId="02466E0C" w14:textId="77777777" w:rsidR="00AB2AC2" w:rsidRDefault="00AB2AC2" w:rsidP="003E2B05">
            <w:pPr>
              <w:jc w:val="right"/>
            </w:pPr>
            <w:r>
              <w:t>25</w:t>
            </w:r>
          </w:p>
        </w:tc>
      </w:tr>
      <w:tr w:rsidR="00AB2AC2" w14:paraId="276BD6F2" w14:textId="77777777" w:rsidTr="00AB2AC2">
        <w:tc>
          <w:tcPr>
            <w:tcW w:w="1398" w:type="dxa"/>
          </w:tcPr>
          <w:p w14:paraId="70ED02FE" w14:textId="77777777" w:rsidR="00AB2AC2" w:rsidRDefault="00AB2AC2" w:rsidP="003E2B05">
            <w:r>
              <w:t>Foundational</w:t>
            </w:r>
          </w:p>
        </w:tc>
        <w:tc>
          <w:tcPr>
            <w:tcW w:w="1375" w:type="dxa"/>
          </w:tcPr>
          <w:p w14:paraId="4F98B3B2" w14:textId="77777777" w:rsidR="00AB2AC2" w:rsidRDefault="00AB2AC2" w:rsidP="003E2B05">
            <w:pPr>
              <w:jc w:val="right"/>
            </w:pPr>
            <w:r>
              <w:t>3</w:t>
            </w:r>
          </w:p>
        </w:tc>
        <w:tc>
          <w:tcPr>
            <w:tcW w:w="1141" w:type="dxa"/>
          </w:tcPr>
          <w:p w14:paraId="3032A362" w14:textId="77777777" w:rsidR="00AB2AC2" w:rsidRDefault="00AB2AC2" w:rsidP="003E2B05">
            <w:pPr>
              <w:jc w:val="right"/>
            </w:pPr>
          </w:p>
        </w:tc>
        <w:tc>
          <w:tcPr>
            <w:tcW w:w="1067" w:type="dxa"/>
          </w:tcPr>
          <w:p w14:paraId="21B2B9C6" w14:textId="77777777" w:rsidR="00AB2AC2" w:rsidRDefault="00AB2AC2" w:rsidP="003E2B05">
            <w:pPr>
              <w:jc w:val="right"/>
            </w:pPr>
            <w:r>
              <w:t>1</w:t>
            </w:r>
          </w:p>
        </w:tc>
        <w:tc>
          <w:tcPr>
            <w:tcW w:w="958" w:type="dxa"/>
          </w:tcPr>
          <w:p w14:paraId="608DAC3B" w14:textId="77777777" w:rsidR="00AB2AC2" w:rsidRDefault="00AB2AC2" w:rsidP="003E2B05">
            <w:pPr>
              <w:jc w:val="right"/>
            </w:pPr>
          </w:p>
        </w:tc>
        <w:tc>
          <w:tcPr>
            <w:tcW w:w="1078" w:type="dxa"/>
          </w:tcPr>
          <w:p w14:paraId="36154254" w14:textId="77777777" w:rsidR="00AB2AC2" w:rsidRDefault="00AB2AC2" w:rsidP="003E2B05">
            <w:pPr>
              <w:jc w:val="right"/>
            </w:pPr>
            <w:r>
              <w:t>2</w:t>
            </w:r>
          </w:p>
        </w:tc>
        <w:tc>
          <w:tcPr>
            <w:tcW w:w="1069" w:type="dxa"/>
          </w:tcPr>
          <w:p w14:paraId="689E63C2" w14:textId="77777777" w:rsidR="00AB2AC2" w:rsidRDefault="00AB2AC2" w:rsidP="003E2B05">
            <w:pPr>
              <w:jc w:val="right"/>
            </w:pPr>
          </w:p>
        </w:tc>
        <w:tc>
          <w:tcPr>
            <w:tcW w:w="1156" w:type="dxa"/>
          </w:tcPr>
          <w:p w14:paraId="1F66021D" w14:textId="77777777" w:rsidR="00AB2AC2" w:rsidRDefault="00AB2AC2" w:rsidP="003E2B05">
            <w:pPr>
              <w:jc w:val="right"/>
            </w:pPr>
            <w:r>
              <w:t>6</w:t>
            </w:r>
          </w:p>
        </w:tc>
      </w:tr>
      <w:tr w:rsidR="00AB2AC2" w14:paraId="1A3FC844" w14:textId="77777777" w:rsidTr="00AB2AC2">
        <w:tc>
          <w:tcPr>
            <w:tcW w:w="1398" w:type="dxa"/>
          </w:tcPr>
          <w:p w14:paraId="6F21D588" w14:textId="77777777" w:rsidR="00AB2AC2" w:rsidRDefault="00AB2AC2" w:rsidP="003E2B05">
            <w:r>
              <w:t>Concordat</w:t>
            </w:r>
          </w:p>
        </w:tc>
        <w:tc>
          <w:tcPr>
            <w:tcW w:w="1375" w:type="dxa"/>
          </w:tcPr>
          <w:p w14:paraId="0009B786" w14:textId="77777777" w:rsidR="00AB2AC2" w:rsidRDefault="00AB2AC2" w:rsidP="003E2B05">
            <w:pPr>
              <w:jc w:val="right"/>
            </w:pPr>
            <w:r>
              <w:t>2</w:t>
            </w:r>
          </w:p>
        </w:tc>
        <w:tc>
          <w:tcPr>
            <w:tcW w:w="1141" w:type="dxa"/>
          </w:tcPr>
          <w:p w14:paraId="0FD23F90" w14:textId="77777777" w:rsidR="00AB2AC2" w:rsidRDefault="00AB2AC2" w:rsidP="003E2B05">
            <w:pPr>
              <w:jc w:val="right"/>
            </w:pPr>
            <w:r>
              <w:t>1</w:t>
            </w:r>
          </w:p>
        </w:tc>
        <w:tc>
          <w:tcPr>
            <w:tcW w:w="1067" w:type="dxa"/>
          </w:tcPr>
          <w:p w14:paraId="0FDD2D6A" w14:textId="77777777" w:rsidR="00AB2AC2" w:rsidRDefault="00AB2AC2" w:rsidP="003E2B05">
            <w:pPr>
              <w:jc w:val="right"/>
            </w:pPr>
            <w:r>
              <w:t>4</w:t>
            </w:r>
          </w:p>
        </w:tc>
        <w:tc>
          <w:tcPr>
            <w:tcW w:w="958" w:type="dxa"/>
          </w:tcPr>
          <w:p w14:paraId="3324022F" w14:textId="77777777" w:rsidR="00AB2AC2" w:rsidRDefault="00AB2AC2" w:rsidP="003E2B05">
            <w:pPr>
              <w:jc w:val="right"/>
            </w:pPr>
          </w:p>
        </w:tc>
        <w:tc>
          <w:tcPr>
            <w:tcW w:w="1078" w:type="dxa"/>
          </w:tcPr>
          <w:p w14:paraId="0774A215" w14:textId="77777777" w:rsidR="00AB2AC2" w:rsidRDefault="00AB2AC2" w:rsidP="003E2B05">
            <w:pPr>
              <w:jc w:val="right"/>
            </w:pPr>
          </w:p>
        </w:tc>
        <w:tc>
          <w:tcPr>
            <w:tcW w:w="1069" w:type="dxa"/>
          </w:tcPr>
          <w:p w14:paraId="207ABB33" w14:textId="77777777" w:rsidR="00AB2AC2" w:rsidRDefault="00AB2AC2" w:rsidP="003E2B05">
            <w:pPr>
              <w:jc w:val="right"/>
            </w:pPr>
          </w:p>
        </w:tc>
        <w:tc>
          <w:tcPr>
            <w:tcW w:w="1156" w:type="dxa"/>
          </w:tcPr>
          <w:p w14:paraId="1F6C5684" w14:textId="77777777" w:rsidR="00AB2AC2" w:rsidRDefault="00AB2AC2" w:rsidP="003E2B05">
            <w:pPr>
              <w:jc w:val="right"/>
            </w:pPr>
            <w:r>
              <w:t>7</w:t>
            </w:r>
          </w:p>
        </w:tc>
      </w:tr>
      <w:tr w:rsidR="00AB2AC2" w14:paraId="07D5BF6A" w14:textId="77777777" w:rsidTr="00AB2AC2">
        <w:tc>
          <w:tcPr>
            <w:tcW w:w="1398" w:type="dxa"/>
          </w:tcPr>
          <w:p w14:paraId="1BF2A907" w14:textId="77777777" w:rsidR="00AB2AC2" w:rsidRDefault="00AB2AC2" w:rsidP="003E2B05">
            <w:r>
              <w:t>Legal Rights</w:t>
            </w:r>
          </w:p>
        </w:tc>
        <w:tc>
          <w:tcPr>
            <w:tcW w:w="1375" w:type="dxa"/>
          </w:tcPr>
          <w:p w14:paraId="474B4098" w14:textId="77777777" w:rsidR="00AB2AC2" w:rsidRDefault="00AB2AC2" w:rsidP="003E2B05">
            <w:pPr>
              <w:jc w:val="right"/>
            </w:pPr>
            <w:r>
              <w:t>3</w:t>
            </w:r>
          </w:p>
        </w:tc>
        <w:tc>
          <w:tcPr>
            <w:tcW w:w="1141" w:type="dxa"/>
          </w:tcPr>
          <w:p w14:paraId="2CF9D2E6" w14:textId="77777777" w:rsidR="00AB2AC2" w:rsidRDefault="00AB2AC2" w:rsidP="003E2B05">
            <w:pPr>
              <w:jc w:val="right"/>
            </w:pPr>
            <w:r>
              <w:t>1</w:t>
            </w:r>
          </w:p>
        </w:tc>
        <w:tc>
          <w:tcPr>
            <w:tcW w:w="1067" w:type="dxa"/>
          </w:tcPr>
          <w:p w14:paraId="071C8691" w14:textId="77777777" w:rsidR="00AB2AC2" w:rsidRDefault="00AB2AC2" w:rsidP="003E2B05">
            <w:pPr>
              <w:jc w:val="right"/>
            </w:pPr>
            <w:r>
              <w:t>5</w:t>
            </w:r>
          </w:p>
        </w:tc>
        <w:tc>
          <w:tcPr>
            <w:tcW w:w="958" w:type="dxa"/>
          </w:tcPr>
          <w:p w14:paraId="6C632750" w14:textId="77777777" w:rsidR="00AB2AC2" w:rsidRDefault="00AB2AC2" w:rsidP="003E2B05">
            <w:pPr>
              <w:jc w:val="right"/>
            </w:pPr>
            <w:r>
              <w:t>1</w:t>
            </w:r>
          </w:p>
        </w:tc>
        <w:tc>
          <w:tcPr>
            <w:tcW w:w="1078" w:type="dxa"/>
          </w:tcPr>
          <w:p w14:paraId="32E82292" w14:textId="77777777" w:rsidR="00AB2AC2" w:rsidRDefault="00AB2AC2" w:rsidP="003E2B05">
            <w:pPr>
              <w:jc w:val="right"/>
            </w:pPr>
            <w:r>
              <w:t>1</w:t>
            </w:r>
          </w:p>
        </w:tc>
        <w:tc>
          <w:tcPr>
            <w:tcW w:w="1069" w:type="dxa"/>
          </w:tcPr>
          <w:p w14:paraId="0E831448" w14:textId="77777777" w:rsidR="00AB2AC2" w:rsidRDefault="00AB2AC2" w:rsidP="003E2B05">
            <w:pPr>
              <w:jc w:val="right"/>
            </w:pPr>
          </w:p>
        </w:tc>
        <w:tc>
          <w:tcPr>
            <w:tcW w:w="1156" w:type="dxa"/>
          </w:tcPr>
          <w:p w14:paraId="55ADCE72" w14:textId="77777777" w:rsidR="00AB2AC2" w:rsidRDefault="00AB2AC2" w:rsidP="003E2B05">
            <w:pPr>
              <w:jc w:val="right"/>
            </w:pPr>
            <w:r>
              <w:t>11</w:t>
            </w:r>
          </w:p>
        </w:tc>
      </w:tr>
      <w:tr w:rsidR="00AB2AC2" w14:paraId="6530F055" w14:textId="77777777" w:rsidTr="00AB2AC2">
        <w:tc>
          <w:tcPr>
            <w:tcW w:w="1398" w:type="dxa"/>
          </w:tcPr>
          <w:p w14:paraId="2E1CEA60" w14:textId="77777777" w:rsidR="00AB2AC2" w:rsidRDefault="00AB2AC2" w:rsidP="003E2B05">
            <w:r>
              <w:t>Undermined</w:t>
            </w:r>
          </w:p>
        </w:tc>
        <w:tc>
          <w:tcPr>
            <w:tcW w:w="1375" w:type="dxa"/>
          </w:tcPr>
          <w:p w14:paraId="26582670" w14:textId="77777777" w:rsidR="00AB2AC2" w:rsidRDefault="00AB2AC2" w:rsidP="003E2B05">
            <w:pPr>
              <w:jc w:val="right"/>
            </w:pPr>
            <w:r>
              <w:t>9</w:t>
            </w:r>
          </w:p>
        </w:tc>
        <w:tc>
          <w:tcPr>
            <w:tcW w:w="1141" w:type="dxa"/>
          </w:tcPr>
          <w:p w14:paraId="1EC76E0E" w14:textId="77777777" w:rsidR="00AB2AC2" w:rsidRDefault="00AB2AC2" w:rsidP="003E2B05">
            <w:pPr>
              <w:jc w:val="right"/>
            </w:pPr>
          </w:p>
        </w:tc>
        <w:tc>
          <w:tcPr>
            <w:tcW w:w="1067" w:type="dxa"/>
          </w:tcPr>
          <w:p w14:paraId="63D5E0FB" w14:textId="77777777" w:rsidR="00AB2AC2" w:rsidRDefault="00AB2AC2" w:rsidP="003E2B05">
            <w:pPr>
              <w:jc w:val="right"/>
            </w:pPr>
            <w:r>
              <w:t>3</w:t>
            </w:r>
          </w:p>
        </w:tc>
        <w:tc>
          <w:tcPr>
            <w:tcW w:w="958" w:type="dxa"/>
          </w:tcPr>
          <w:p w14:paraId="1F24EB7B" w14:textId="77777777" w:rsidR="00AB2AC2" w:rsidRDefault="00AB2AC2" w:rsidP="003E2B05">
            <w:pPr>
              <w:jc w:val="right"/>
            </w:pPr>
          </w:p>
        </w:tc>
        <w:tc>
          <w:tcPr>
            <w:tcW w:w="1078" w:type="dxa"/>
          </w:tcPr>
          <w:p w14:paraId="666A8F8B" w14:textId="77777777" w:rsidR="00AB2AC2" w:rsidRDefault="00AB2AC2" w:rsidP="003E2B05">
            <w:pPr>
              <w:jc w:val="right"/>
            </w:pPr>
          </w:p>
        </w:tc>
        <w:tc>
          <w:tcPr>
            <w:tcW w:w="1069" w:type="dxa"/>
          </w:tcPr>
          <w:p w14:paraId="2111BABD" w14:textId="77777777" w:rsidR="00AB2AC2" w:rsidRDefault="00AB2AC2" w:rsidP="003E2B05">
            <w:pPr>
              <w:jc w:val="right"/>
            </w:pPr>
          </w:p>
        </w:tc>
        <w:tc>
          <w:tcPr>
            <w:tcW w:w="1156" w:type="dxa"/>
          </w:tcPr>
          <w:p w14:paraId="4035A613" w14:textId="77777777" w:rsidR="00AB2AC2" w:rsidRDefault="00AB2AC2" w:rsidP="003E2B05">
            <w:pPr>
              <w:jc w:val="right"/>
            </w:pPr>
            <w:r>
              <w:t>12</w:t>
            </w:r>
          </w:p>
        </w:tc>
      </w:tr>
      <w:tr w:rsidR="00AB2AC2" w14:paraId="671E9555" w14:textId="77777777" w:rsidTr="00AB2AC2">
        <w:tc>
          <w:tcPr>
            <w:tcW w:w="1398" w:type="dxa"/>
          </w:tcPr>
          <w:p w14:paraId="2180C705" w14:textId="77777777" w:rsidR="00AB2AC2" w:rsidRDefault="00AB2AC2" w:rsidP="003E2B05">
            <w:r>
              <w:t>TOTAL</w:t>
            </w:r>
          </w:p>
        </w:tc>
        <w:tc>
          <w:tcPr>
            <w:tcW w:w="1375" w:type="dxa"/>
          </w:tcPr>
          <w:p w14:paraId="645FD1FF" w14:textId="77777777" w:rsidR="00AB2AC2" w:rsidRDefault="00AB2AC2" w:rsidP="003E2B05">
            <w:pPr>
              <w:jc w:val="right"/>
            </w:pPr>
            <w:r>
              <w:t>25</w:t>
            </w:r>
          </w:p>
        </w:tc>
        <w:tc>
          <w:tcPr>
            <w:tcW w:w="1141" w:type="dxa"/>
          </w:tcPr>
          <w:p w14:paraId="4B0812E8" w14:textId="77777777" w:rsidR="00AB2AC2" w:rsidRDefault="00AB2AC2" w:rsidP="003E2B05">
            <w:pPr>
              <w:jc w:val="right"/>
            </w:pPr>
            <w:r>
              <w:t>4</w:t>
            </w:r>
          </w:p>
        </w:tc>
        <w:tc>
          <w:tcPr>
            <w:tcW w:w="1067" w:type="dxa"/>
          </w:tcPr>
          <w:p w14:paraId="0FCA1E02" w14:textId="77777777" w:rsidR="00AB2AC2" w:rsidRDefault="00AB2AC2" w:rsidP="003E2B05">
            <w:pPr>
              <w:jc w:val="right"/>
            </w:pPr>
            <w:r>
              <w:t>25</w:t>
            </w:r>
          </w:p>
        </w:tc>
        <w:tc>
          <w:tcPr>
            <w:tcW w:w="958" w:type="dxa"/>
          </w:tcPr>
          <w:p w14:paraId="57EDF064" w14:textId="77777777" w:rsidR="00AB2AC2" w:rsidRDefault="00AB2AC2" w:rsidP="003E2B05">
            <w:pPr>
              <w:jc w:val="right"/>
            </w:pPr>
            <w:r>
              <w:t>2</w:t>
            </w:r>
          </w:p>
        </w:tc>
        <w:tc>
          <w:tcPr>
            <w:tcW w:w="1078" w:type="dxa"/>
          </w:tcPr>
          <w:p w14:paraId="5E2C18F9" w14:textId="77777777" w:rsidR="00AB2AC2" w:rsidRDefault="00AB2AC2" w:rsidP="003E2B05">
            <w:pPr>
              <w:jc w:val="right"/>
            </w:pPr>
            <w:r>
              <w:t>4</w:t>
            </w:r>
          </w:p>
        </w:tc>
        <w:tc>
          <w:tcPr>
            <w:tcW w:w="1069" w:type="dxa"/>
          </w:tcPr>
          <w:p w14:paraId="5CC6F0D5" w14:textId="77777777" w:rsidR="00AB2AC2" w:rsidRDefault="00AB2AC2" w:rsidP="003E2B05">
            <w:pPr>
              <w:jc w:val="right"/>
            </w:pPr>
            <w:r>
              <w:t>1</w:t>
            </w:r>
          </w:p>
        </w:tc>
        <w:tc>
          <w:tcPr>
            <w:tcW w:w="1156" w:type="dxa"/>
          </w:tcPr>
          <w:p w14:paraId="5711F631" w14:textId="77777777" w:rsidR="00AB2AC2" w:rsidRDefault="00AB2AC2" w:rsidP="003E2B05">
            <w:pPr>
              <w:jc w:val="right"/>
            </w:pPr>
            <w:r>
              <w:t>61</w:t>
            </w:r>
          </w:p>
        </w:tc>
      </w:tr>
      <w:tr w:rsidR="00AB2AC2" w14:paraId="3DA08BE3" w14:textId="77777777" w:rsidTr="00AB2AC2">
        <w:tc>
          <w:tcPr>
            <w:tcW w:w="1398" w:type="dxa"/>
          </w:tcPr>
          <w:p w14:paraId="1B53CE6C" w14:textId="77777777" w:rsidR="00AB2AC2" w:rsidRPr="00EB0E8E" w:rsidRDefault="00AB2AC2" w:rsidP="003E2B05">
            <w:pPr>
              <w:rPr>
                <w:b/>
              </w:rPr>
            </w:pPr>
            <w:r>
              <w:rPr>
                <w:b/>
              </w:rPr>
              <w:t>Subject of reference</w:t>
            </w:r>
          </w:p>
        </w:tc>
        <w:tc>
          <w:tcPr>
            <w:tcW w:w="1375" w:type="dxa"/>
          </w:tcPr>
          <w:p w14:paraId="7922D854" w14:textId="77777777" w:rsidR="00AB2AC2" w:rsidRDefault="00AB2AC2" w:rsidP="003E2B05">
            <w:pPr>
              <w:jc w:val="right"/>
            </w:pPr>
          </w:p>
        </w:tc>
        <w:tc>
          <w:tcPr>
            <w:tcW w:w="1141" w:type="dxa"/>
          </w:tcPr>
          <w:p w14:paraId="48D1F937" w14:textId="77777777" w:rsidR="00AB2AC2" w:rsidRDefault="00AB2AC2" w:rsidP="003E2B05">
            <w:pPr>
              <w:jc w:val="right"/>
            </w:pPr>
          </w:p>
        </w:tc>
        <w:tc>
          <w:tcPr>
            <w:tcW w:w="1067" w:type="dxa"/>
          </w:tcPr>
          <w:p w14:paraId="3A527FA2" w14:textId="77777777" w:rsidR="00AB2AC2" w:rsidRDefault="00AB2AC2" w:rsidP="003E2B05">
            <w:pPr>
              <w:jc w:val="right"/>
            </w:pPr>
          </w:p>
        </w:tc>
        <w:tc>
          <w:tcPr>
            <w:tcW w:w="958" w:type="dxa"/>
          </w:tcPr>
          <w:p w14:paraId="09F73CBA" w14:textId="77777777" w:rsidR="00AB2AC2" w:rsidRDefault="00AB2AC2" w:rsidP="003E2B05">
            <w:pPr>
              <w:jc w:val="right"/>
            </w:pPr>
          </w:p>
        </w:tc>
        <w:tc>
          <w:tcPr>
            <w:tcW w:w="1078" w:type="dxa"/>
          </w:tcPr>
          <w:p w14:paraId="6CE15AFF" w14:textId="77777777" w:rsidR="00AB2AC2" w:rsidRDefault="00AB2AC2" w:rsidP="003E2B05">
            <w:pPr>
              <w:jc w:val="right"/>
            </w:pPr>
          </w:p>
        </w:tc>
        <w:tc>
          <w:tcPr>
            <w:tcW w:w="1069" w:type="dxa"/>
          </w:tcPr>
          <w:p w14:paraId="1C6CE804" w14:textId="77777777" w:rsidR="00AB2AC2" w:rsidRDefault="00AB2AC2" w:rsidP="003E2B05">
            <w:pPr>
              <w:jc w:val="right"/>
            </w:pPr>
          </w:p>
        </w:tc>
        <w:tc>
          <w:tcPr>
            <w:tcW w:w="1156" w:type="dxa"/>
          </w:tcPr>
          <w:p w14:paraId="190DB334" w14:textId="77777777" w:rsidR="00AB2AC2" w:rsidRDefault="00AB2AC2" w:rsidP="003E2B05">
            <w:pPr>
              <w:jc w:val="right"/>
            </w:pPr>
          </w:p>
        </w:tc>
      </w:tr>
      <w:tr w:rsidR="00AB2AC2" w14:paraId="657E7B07" w14:textId="77777777" w:rsidTr="00AB2AC2">
        <w:tc>
          <w:tcPr>
            <w:tcW w:w="1398" w:type="dxa"/>
          </w:tcPr>
          <w:p w14:paraId="53234D91" w14:textId="77777777" w:rsidR="00AB2AC2" w:rsidRDefault="00AB2AC2" w:rsidP="003E2B05">
            <w:r>
              <w:t>Empire</w:t>
            </w:r>
          </w:p>
        </w:tc>
        <w:tc>
          <w:tcPr>
            <w:tcW w:w="1375" w:type="dxa"/>
          </w:tcPr>
          <w:p w14:paraId="0C63A62B" w14:textId="77777777" w:rsidR="00AB2AC2" w:rsidRDefault="00AB2AC2" w:rsidP="003E2B05">
            <w:pPr>
              <w:jc w:val="right"/>
            </w:pPr>
          </w:p>
        </w:tc>
        <w:tc>
          <w:tcPr>
            <w:tcW w:w="1141" w:type="dxa"/>
          </w:tcPr>
          <w:p w14:paraId="65EA8813" w14:textId="77777777" w:rsidR="00AB2AC2" w:rsidRDefault="00AB2AC2" w:rsidP="003E2B05">
            <w:pPr>
              <w:jc w:val="right"/>
            </w:pPr>
          </w:p>
        </w:tc>
        <w:tc>
          <w:tcPr>
            <w:tcW w:w="1067" w:type="dxa"/>
          </w:tcPr>
          <w:p w14:paraId="7173338A" w14:textId="77777777" w:rsidR="00AB2AC2" w:rsidRDefault="00AB2AC2" w:rsidP="003E2B05">
            <w:pPr>
              <w:jc w:val="right"/>
            </w:pPr>
            <w:r>
              <w:t>1</w:t>
            </w:r>
          </w:p>
        </w:tc>
        <w:tc>
          <w:tcPr>
            <w:tcW w:w="958" w:type="dxa"/>
          </w:tcPr>
          <w:p w14:paraId="6B8D31E3" w14:textId="77777777" w:rsidR="00AB2AC2" w:rsidRDefault="00AB2AC2" w:rsidP="003E2B05">
            <w:pPr>
              <w:jc w:val="right"/>
            </w:pPr>
          </w:p>
        </w:tc>
        <w:tc>
          <w:tcPr>
            <w:tcW w:w="1078" w:type="dxa"/>
          </w:tcPr>
          <w:p w14:paraId="22BFBBF1" w14:textId="77777777" w:rsidR="00AB2AC2" w:rsidRDefault="00AB2AC2" w:rsidP="003E2B05">
            <w:pPr>
              <w:jc w:val="right"/>
            </w:pPr>
          </w:p>
        </w:tc>
        <w:tc>
          <w:tcPr>
            <w:tcW w:w="1069" w:type="dxa"/>
          </w:tcPr>
          <w:p w14:paraId="3099C460" w14:textId="77777777" w:rsidR="00AB2AC2" w:rsidRDefault="00AB2AC2" w:rsidP="003E2B05">
            <w:pPr>
              <w:jc w:val="right"/>
            </w:pPr>
          </w:p>
        </w:tc>
        <w:tc>
          <w:tcPr>
            <w:tcW w:w="1156" w:type="dxa"/>
          </w:tcPr>
          <w:p w14:paraId="160F56B7" w14:textId="77777777" w:rsidR="00AB2AC2" w:rsidRDefault="00AB2AC2" w:rsidP="003E2B05">
            <w:pPr>
              <w:jc w:val="right"/>
            </w:pPr>
            <w:r>
              <w:t>1</w:t>
            </w:r>
          </w:p>
        </w:tc>
      </w:tr>
      <w:tr w:rsidR="00AB2AC2" w14:paraId="0F3240EB" w14:textId="77777777" w:rsidTr="00AB2AC2">
        <w:tc>
          <w:tcPr>
            <w:tcW w:w="1398" w:type="dxa"/>
          </w:tcPr>
          <w:p w14:paraId="40429F7F" w14:textId="77777777" w:rsidR="00AB2AC2" w:rsidRDefault="00AB2AC2" w:rsidP="003E2B05">
            <w:r>
              <w:t>Finance</w:t>
            </w:r>
          </w:p>
        </w:tc>
        <w:tc>
          <w:tcPr>
            <w:tcW w:w="1375" w:type="dxa"/>
          </w:tcPr>
          <w:p w14:paraId="56EDB0D0" w14:textId="77777777" w:rsidR="00AB2AC2" w:rsidRDefault="00AB2AC2" w:rsidP="003E2B05">
            <w:pPr>
              <w:jc w:val="right"/>
            </w:pPr>
            <w:r>
              <w:t>5</w:t>
            </w:r>
          </w:p>
        </w:tc>
        <w:tc>
          <w:tcPr>
            <w:tcW w:w="1141" w:type="dxa"/>
          </w:tcPr>
          <w:p w14:paraId="77A5080E" w14:textId="77777777" w:rsidR="00AB2AC2" w:rsidRDefault="00AB2AC2" w:rsidP="003E2B05">
            <w:pPr>
              <w:jc w:val="right"/>
            </w:pPr>
          </w:p>
        </w:tc>
        <w:tc>
          <w:tcPr>
            <w:tcW w:w="1067" w:type="dxa"/>
          </w:tcPr>
          <w:p w14:paraId="113301E4" w14:textId="77777777" w:rsidR="00AB2AC2" w:rsidRDefault="00AB2AC2" w:rsidP="003E2B05">
            <w:pPr>
              <w:jc w:val="right"/>
            </w:pPr>
            <w:r>
              <w:t>1</w:t>
            </w:r>
          </w:p>
        </w:tc>
        <w:tc>
          <w:tcPr>
            <w:tcW w:w="958" w:type="dxa"/>
          </w:tcPr>
          <w:p w14:paraId="6CDC4498" w14:textId="77777777" w:rsidR="00AB2AC2" w:rsidRDefault="00AB2AC2" w:rsidP="003E2B05">
            <w:pPr>
              <w:jc w:val="right"/>
            </w:pPr>
          </w:p>
        </w:tc>
        <w:tc>
          <w:tcPr>
            <w:tcW w:w="1078" w:type="dxa"/>
          </w:tcPr>
          <w:p w14:paraId="594060F8" w14:textId="77777777" w:rsidR="00AB2AC2" w:rsidRDefault="00AB2AC2" w:rsidP="003E2B05">
            <w:pPr>
              <w:jc w:val="right"/>
            </w:pPr>
          </w:p>
        </w:tc>
        <w:tc>
          <w:tcPr>
            <w:tcW w:w="1069" w:type="dxa"/>
          </w:tcPr>
          <w:p w14:paraId="15D4FDB6" w14:textId="77777777" w:rsidR="00AB2AC2" w:rsidRDefault="00AB2AC2" w:rsidP="003E2B05">
            <w:pPr>
              <w:jc w:val="right"/>
            </w:pPr>
          </w:p>
        </w:tc>
        <w:tc>
          <w:tcPr>
            <w:tcW w:w="1156" w:type="dxa"/>
          </w:tcPr>
          <w:p w14:paraId="2715ED03" w14:textId="77777777" w:rsidR="00AB2AC2" w:rsidRDefault="00AB2AC2" w:rsidP="003E2B05">
            <w:pPr>
              <w:jc w:val="right"/>
            </w:pPr>
            <w:r>
              <w:t>6</w:t>
            </w:r>
          </w:p>
        </w:tc>
      </w:tr>
      <w:tr w:rsidR="00AB2AC2" w14:paraId="141B40ED" w14:textId="77777777" w:rsidTr="00AB2AC2">
        <w:tc>
          <w:tcPr>
            <w:tcW w:w="1398" w:type="dxa"/>
          </w:tcPr>
          <w:p w14:paraId="15F12D06" w14:textId="77777777" w:rsidR="00AB2AC2" w:rsidRDefault="00AB2AC2" w:rsidP="003E2B05">
            <w:r>
              <w:t>India</w:t>
            </w:r>
          </w:p>
        </w:tc>
        <w:tc>
          <w:tcPr>
            <w:tcW w:w="1375" w:type="dxa"/>
          </w:tcPr>
          <w:p w14:paraId="6058F4C0" w14:textId="77777777" w:rsidR="00AB2AC2" w:rsidRDefault="00AB2AC2" w:rsidP="003E2B05">
            <w:pPr>
              <w:jc w:val="right"/>
            </w:pPr>
            <w:r>
              <w:t>1</w:t>
            </w:r>
          </w:p>
        </w:tc>
        <w:tc>
          <w:tcPr>
            <w:tcW w:w="1141" w:type="dxa"/>
          </w:tcPr>
          <w:p w14:paraId="4FB26515" w14:textId="77777777" w:rsidR="00AB2AC2" w:rsidRDefault="00AB2AC2" w:rsidP="003E2B05">
            <w:pPr>
              <w:jc w:val="right"/>
            </w:pPr>
          </w:p>
        </w:tc>
        <w:tc>
          <w:tcPr>
            <w:tcW w:w="1067" w:type="dxa"/>
          </w:tcPr>
          <w:p w14:paraId="09DCAFB9" w14:textId="77777777" w:rsidR="00AB2AC2" w:rsidRDefault="00AB2AC2" w:rsidP="003E2B05">
            <w:pPr>
              <w:jc w:val="right"/>
            </w:pPr>
            <w:r>
              <w:t>5</w:t>
            </w:r>
          </w:p>
        </w:tc>
        <w:tc>
          <w:tcPr>
            <w:tcW w:w="958" w:type="dxa"/>
          </w:tcPr>
          <w:p w14:paraId="724DFE8E" w14:textId="77777777" w:rsidR="00AB2AC2" w:rsidRDefault="00AB2AC2" w:rsidP="003E2B05">
            <w:pPr>
              <w:jc w:val="right"/>
            </w:pPr>
          </w:p>
        </w:tc>
        <w:tc>
          <w:tcPr>
            <w:tcW w:w="1078" w:type="dxa"/>
          </w:tcPr>
          <w:p w14:paraId="352B9030" w14:textId="77777777" w:rsidR="00AB2AC2" w:rsidRDefault="00AB2AC2" w:rsidP="003E2B05">
            <w:pPr>
              <w:jc w:val="right"/>
            </w:pPr>
          </w:p>
        </w:tc>
        <w:tc>
          <w:tcPr>
            <w:tcW w:w="1069" w:type="dxa"/>
          </w:tcPr>
          <w:p w14:paraId="63474BFD" w14:textId="77777777" w:rsidR="00AB2AC2" w:rsidRDefault="00AB2AC2" w:rsidP="003E2B05">
            <w:pPr>
              <w:jc w:val="right"/>
            </w:pPr>
          </w:p>
        </w:tc>
        <w:tc>
          <w:tcPr>
            <w:tcW w:w="1156" w:type="dxa"/>
          </w:tcPr>
          <w:p w14:paraId="413B1ED9" w14:textId="77777777" w:rsidR="00AB2AC2" w:rsidRDefault="00AB2AC2" w:rsidP="003E2B05">
            <w:pPr>
              <w:jc w:val="right"/>
            </w:pPr>
            <w:r>
              <w:t>6</w:t>
            </w:r>
          </w:p>
        </w:tc>
      </w:tr>
      <w:tr w:rsidR="00AB2AC2" w14:paraId="6ABFD88B" w14:textId="77777777" w:rsidTr="00AB2AC2">
        <w:tc>
          <w:tcPr>
            <w:tcW w:w="1398" w:type="dxa"/>
          </w:tcPr>
          <w:p w14:paraId="7496929F" w14:textId="77777777" w:rsidR="00AB2AC2" w:rsidRDefault="00AB2AC2" w:rsidP="003E2B05">
            <w:r>
              <w:t>Ireland</w:t>
            </w:r>
          </w:p>
        </w:tc>
        <w:tc>
          <w:tcPr>
            <w:tcW w:w="1375" w:type="dxa"/>
          </w:tcPr>
          <w:p w14:paraId="4F83C563" w14:textId="77777777" w:rsidR="00AB2AC2" w:rsidRDefault="00AB2AC2" w:rsidP="003E2B05">
            <w:pPr>
              <w:jc w:val="right"/>
            </w:pPr>
            <w:r>
              <w:t>8</w:t>
            </w:r>
          </w:p>
        </w:tc>
        <w:tc>
          <w:tcPr>
            <w:tcW w:w="1141" w:type="dxa"/>
          </w:tcPr>
          <w:p w14:paraId="0D3848E6" w14:textId="77777777" w:rsidR="00AB2AC2" w:rsidRDefault="00AB2AC2" w:rsidP="003E2B05">
            <w:pPr>
              <w:jc w:val="right"/>
            </w:pPr>
          </w:p>
        </w:tc>
        <w:tc>
          <w:tcPr>
            <w:tcW w:w="1067" w:type="dxa"/>
          </w:tcPr>
          <w:p w14:paraId="4351628A" w14:textId="77777777" w:rsidR="00AB2AC2" w:rsidRDefault="00AB2AC2" w:rsidP="003E2B05">
            <w:pPr>
              <w:jc w:val="right"/>
            </w:pPr>
            <w:r>
              <w:t>2</w:t>
            </w:r>
          </w:p>
        </w:tc>
        <w:tc>
          <w:tcPr>
            <w:tcW w:w="958" w:type="dxa"/>
          </w:tcPr>
          <w:p w14:paraId="243E30CF" w14:textId="77777777" w:rsidR="00AB2AC2" w:rsidRDefault="00AB2AC2" w:rsidP="003E2B05">
            <w:pPr>
              <w:jc w:val="right"/>
            </w:pPr>
            <w:r>
              <w:t>1</w:t>
            </w:r>
          </w:p>
        </w:tc>
        <w:tc>
          <w:tcPr>
            <w:tcW w:w="1078" w:type="dxa"/>
          </w:tcPr>
          <w:p w14:paraId="00E34587" w14:textId="77777777" w:rsidR="00AB2AC2" w:rsidRDefault="00AB2AC2" w:rsidP="003E2B05">
            <w:pPr>
              <w:jc w:val="right"/>
            </w:pPr>
          </w:p>
        </w:tc>
        <w:tc>
          <w:tcPr>
            <w:tcW w:w="1069" w:type="dxa"/>
          </w:tcPr>
          <w:p w14:paraId="29EEF4BB" w14:textId="77777777" w:rsidR="00AB2AC2" w:rsidRDefault="00AB2AC2" w:rsidP="003E2B05">
            <w:pPr>
              <w:jc w:val="right"/>
            </w:pPr>
          </w:p>
        </w:tc>
        <w:tc>
          <w:tcPr>
            <w:tcW w:w="1156" w:type="dxa"/>
          </w:tcPr>
          <w:p w14:paraId="4F2F759D" w14:textId="77777777" w:rsidR="00AB2AC2" w:rsidRDefault="00AB2AC2" w:rsidP="003E2B05">
            <w:pPr>
              <w:jc w:val="right"/>
            </w:pPr>
            <w:r>
              <w:t>11</w:t>
            </w:r>
          </w:p>
        </w:tc>
      </w:tr>
      <w:tr w:rsidR="00AB2AC2" w14:paraId="145620C4" w14:textId="77777777" w:rsidTr="00AB2AC2">
        <w:tc>
          <w:tcPr>
            <w:tcW w:w="1398" w:type="dxa"/>
          </w:tcPr>
          <w:p w14:paraId="5CE3402F" w14:textId="77777777" w:rsidR="00AB2AC2" w:rsidRDefault="00AB2AC2" w:rsidP="003E2B05">
            <w:r>
              <w:t>Parliament and Constitution</w:t>
            </w:r>
          </w:p>
        </w:tc>
        <w:tc>
          <w:tcPr>
            <w:tcW w:w="1375" w:type="dxa"/>
          </w:tcPr>
          <w:p w14:paraId="1522364D" w14:textId="77777777" w:rsidR="00AB2AC2" w:rsidRDefault="00AB2AC2" w:rsidP="003E2B05">
            <w:pPr>
              <w:jc w:val="right"/>
            </w:pPr>
            <w:r>
              <w:t>10</w:t>
            </w:r>
          </w:p>
        </w:tc>
        <w:tc>
          <w:tcPr>
            <w:tcW w:w="1141" w:type="dxa"/>
          </w:tcPr>
          <w:p w14:paraId="5C89D8AD" w14:textId="77777777" w:rsidR="00AB2AC2" w:rsidRDefault="00AB2AC2" w:rsidP="003E2B05">
            <w:pPr>
              <w:jc w:val="right"/>
            </w:pPr>
            <w:r>
              <w:t>2</w:t>
            </w:r>
          </w:p>
        </w:tc>
        <w:tc>
          <w:tcPr>
            <w:tcW w:w="1067" w:type="dxa"/>
          </w:tcPr>
          <w:p w14:paraId="2F4A413C" w14:textId="77777777" w:rsidR="00AB2AC2" w:rsidRDefault="00AB2AC2" w:rsidP="003E2B05">
            <w:pPr>
              <w:jc w:val="right"/>
            </w:pPr>
            <w:r>
              <w:t>9</w:t>
            </w:r>
          </w:p>
        </w:tc>
        <w:tc>
          <w:tcPr>
            <w:tcW w:w="958" w:type="dxa"/>
          </w:tcPr>
          <w:p w14:paraId="4EB57336" w14:textId="77777777" w:rsidR="00AB2AC2" w:rsidRDefault="00AB2AC2" w:rsidP="003E2B05">
            <w:pPr>
              <w:jc w:val="right"/>
            </w:pPr>
          </w:p>
        </w:tc>
        <w:tc>
          <w:tcPr>
            <w:tcW w:w="1078" w:type="dxa"/>
          </w:tcPr>
          <w:p w14:paraId="2211C559" w14:textId="77777777" w:rsidR="00AB2AC2" w:rsidRDefault="00AB2AC2" w:rsidP="003E2B05">
            <w:pPr>
              <w:jc w:val="right"/>
            </w:pPr>
            <w:r>
              <w:t>2</w:t>
            </w:r>
          </w:p>
        </w:tc>
        <w:tc>
          <w:tcPr>
            <w:tcW w:w="1069" w:type="dxa"/>
          </w:tcPr>
          <w:p w14:paraId="1ECC9BEF" w14:textId="77777777" w:rsidR="00AB2AC2" w:rsidRDefault="00AB2AC2" w:rsidP="003E2B05">
            <w:pPr>
              <w:jc w:val="right"/>
            </w:pPr>
            <w:r>
              <w:t>1</w:t>
            </w:r>
          </w:p>
        </w:tc>
        <w:tc>
          <w:tcPr>
            <w:tcW w:w="1156" w:type="dxa"/>
          </w:tcPr>
          <w:p w14:paraId="2A86E6EF" w14:textId="77777777" w:rsidR="00AB2AC2" w:rsidRDefault="00AB2AC2" w:rsidP="003E2B05">
            <w:pPr>
              <w:jc w:val="right"/>
            </w:pPr>
            <w:r>
              <w:t>24</w:t>
            </w:r>
          </w:p>
        </w:tc>
      </w:tr>
      <w:tr w:rsidR="00AB2AC2" w14:paraId="4453F7CF" w14:textId="77777777" w:rsidTr="00AB2AC2">
        <w:tc>
          <w:tcPr>
            <w:tcW w:w="1398" w:type="dxa"/>
          </w:tcPr>
          <w:p w14:paraId="4733ACAF" w14:textId="77777777" w:rsidR="00AB2AC2" w:rsidRDefault="00AB2AC2" w:rsidP="003E2B05">
            <w:r>
              <w:t>South Africa</w:t>
            </w:r>
          </w:p>
        </w:tc>
        <w:tc>
          <w:tcPr>
            <w:tcW w:w="1375" w:type="dxa"/>
          </w:tcPr>
          <w:p w14:paraId="2474993B" w14:textId="77777777" w:rsidR="00AB2AC2" w:rsidRDefault="00AB2AC2" w:rsidP="003E2B05">
            <w:pPr>
              <w:jc w:val="right"/>
            </w:pPr>
            <w:r>
              <w:t>1</w:t>
            </w:r>
          </w:p>
        </w:tc>
        <w:tc>
          <w:tcPr>
            <w:tcW w:w="1141" w:type="dxa"/>
          </w:tcPr>
          <w:p w14:paraId="2827363D" w14:textId="77777777" w:rsidR="00AB2AC2" w:rsidRDefault="00AB2AC2" w:rsidP="003E2B05">
            <w:pPr>
              <w:jc w:val="right"/>
            </w:pPr>
          </w:p>
        </w:tc>
        <w:tc>
          <w:tcPr>
            <w:tcW w:w="1067" w:type="dxa"/>
          </w:tcPr>
          <w:p w14:paraId="035898C8" w14:textId="77777777" w:rsidR="00AB2AC2" w:rsidRDefault="00AB2AC2" w:rsidP="003E2B05">
            <w:pPr>
              <w:jc w:val="right"/>
            </w:pPr>
            <w:r>
              <w:t>2</w:t>
            </w:r>
          </w:p>
        </w:tc>
        <w:tc>
          <w:tcPr>
            <w:tcW w:w="958" w:type="dxa"/>
          </w:tcPr>
          <w:p w14:paraId="78E9E33B" w14:textId="77777777" w:rsidR="00AB2AC2" w:rsidRDefault="00AB2AC2" w:rsidP="003E2B05">
            <w:pPr>
              <w:jc w:val="right"/>
            </w:pPr>
          </w:p>
        </w:tc>
        <w:tc>
          <w:tcPr>
            <w:tcW w:w="1078" w:type="dxa"/>
          </w:tcPr>
          <w:p w14:paraId="3FBF3F93" w14:textId="77777777" w:rsidR="00AB2AC2" w:rsidRDefault="00AB2AC2" w:rsidP="003E2B05">
            <w:pPr>
              <w:jc w:val="right"/>
            </w:pPr>
            <w:r>
              <w:t>2</w:t>
            </w:r>
          </w:p>
        </w:tc>
        <w:tc>
          <w:tcPr>
            <w:tcW w:w="1069" w:type="dxa"/>
          </w:tcPr>
          <w:p w14:paraId="26F6CF08" w14:textId="77777777" w:rsidR="00AB2AC2" w:rsidRDefault="00AB2AC2" w:rsidP="003E2B05">
            <w:pPr>
              <w:jc w:val="right"/>
            </w:pPr>
          </w:p>
        </w:tc>
        <w:tc>
          <w:tcPr>
            <w:tcW w:w="1156" w:type="dxa"/>
          </w:tcPr>
          <w:p w14:paraId="65713D92" w14:textId="77777777" w:rsidR="00AB2AC2" w:rsidRDefault="00AB2AC2" w:rsidP="003E2B05">
            <w:pPr>
              <w:jc w:val="right"/>
            </w:pPr>
            <w:r>
              <w:t>5</w:t>
            </w:r>
          </w:p>
        </w:tc>
      </w:tr>
      <w:tr w:rsidR="00AB2AC2" w14:paraId="48DB5DF5" w14:textId="77777777" w:rsidTr="00AB2AC2">
        <w:tc>
          <w:tcPr>
            <w:tcW w:w="1398" w:type="dxa"/>
          </w:tcPr>
          <w:p w14:paraId="64569E02" w14:textId="77777777" w:rsidR="00AB2AC2" w:rsidRDefault="00AB2AC2" w:rsidP="003E2B05">
            <w:r>
              <w:t>Other</w:t>
            </w:r>
          </w:p>
        </w:tc>
        <w:tc>
          <w:tcPr>
            <w:tcW w:w="1375" w:type="dxa"/>
          </w:tcPr>
          <w:p w14:paraId="69F89C73" w14:textId="77777777" w:rsidR="00AB2AC2" w:rsidRDefault="00AB2AC2" w:rsidP="003E2B05">
            <w:pPr>
              <w:jc w:val="right"/>
            </w:pPr>
          </w:p>
        </w:tc>
        <w:tc>
          <w:tcPr>
            <w:tcW w:w="1141" w:type="dxa"/>
          </w:tcPr>
          <w:p w14:paraId="0196CCEF" w14:textId="77777777" w:rsidR="00AB2AC2" w:rsidRDefault="00AB2AC2" w:rsidP="003E2B05">
            <w:pPr>
              <w:jc w:val="right"/>
            </w:pPr>
            <w:r>
              <w:t>2</w:t>
            </w:r>
          </w:p>
        </w:tc>
        <w:tc>
          <w:tcPr>
            <w:tcW w:w="1067" w:type="dxa"/>
          </w:tcPr>
          <w:p w14:paraId="1140A88C" w14:textId="77777777" w:rsidR="00AB2AC2" w:rsidRDefault="00AB2AC2" w:rsidP="003E2B05">
            <w:pPr>
              <w:jc w:val="right"/>
            </w:pPr>
            <w:r>
              <w:t>5</w:t>
            </w:r>
          </w:p>
        </w:tc>
        <w:tc>
          <w:tcPr>
            <w:tcW w:w="958" w:type="dxa"/>
          </w:tcPr>
          <w:p w14:paraId="788EAD6B" w14:textId="77777777" w:rsidR="00AB2AC2" w:rsidRDefault="00AB2AC2" w:rsidP="003E2B05">
            <w:pPr>
              <w:jc w:val="right"/>
            </w:pPr>
            <w:r>
              <w:t>1</w:t>
            </w:r>
          </w:p>
        </w:tc>
        <w:tc>
          <w:tcPr>
            <w:tcW w:w="1078" w:type="dxa"/>
          </w:tcPr>
          <w:p w14:paraId="149FCDCF" w14:textId="77777777" w:rsidR="00AB2AC2" w:rsidRDefault="00AB2AC2" w:rsidP="003E2B05">
            <w:pPr>
              <w:jc w:val="right"/>
            </w:pPr>
          </w:p>
        </w:tc>
        <w:tc>
          <w:tcPr>
            <w:tcW w:w="1069" w:type="dxa"/>
          </w:tcPr>
          <w:p w14:paraId="51A737AB" w14:textId="77777777" w:rsidR="00AB2AC2" w:rsidRDefault="00AB2AC2" w:rsidP="003E2B05">
            <w:pPr>
              <w:jc w:val="right"/>
            </w:pPr>
          </w:p>
        </w:tc>
        <w:tc>
          <w:tcPr>
            <w:tcW w:w="1156" w:type="dxa"/>
          </w:tcPr>
          <w:p w14:paraId="170F812D" w14:textId="77777777" w:rsidR="00AB2AC2" w:rsidRDefault="00AB2AC2" w:rsidP="003E2B05">
            <w:pPr>
              <w:jc w:val="right"/>
            </w:pPr>
            <w:r>
              <w:t>8</w:t>
            </w:r>
          </w:p>
        </w:tc>
      </w:tr>
    </w:tbl>
    <w:p w14:paraId="22B06C34" w14:textId="77777777" w:rsidR="00AB2AC2" w:rsidRDefault="00AB2AC2" w:rsidP="00AB2AC2"/>
    <w:p w14:paraId="6533C574" w14:textId="77777777" w:rsidR="00CE3140" w:rsidRDefault="00CE3140"/>
    <w:sectPr w:rsidR="00CE3140" w:rsidSect="00FF16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F342E" w14:textId="77777777" w:rsidR="005254DE" w:rsidRDefault="005254DE" w:rsidP="009A7145">
      <w:pPr>
        <w:spacing w:after="0" w:line="240" w:lineRule="auto"/>
      </w:pPr>
      <w:r>
        <w:separator/>
      </w:r>
    </w:p>
  </w:endnote>
  <w:endnote w:type="continuationSeparator" w:id="0">
    <w:p w14:paraId="3FC171D0" w14:textId="77777777" w:rsidR="005254DE" w:rsidRDefault="005254DE" w:rsidP="009A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E6AF" w14:textId="77777777" w:rsidR="005254DE" w:rsidRDefault="005254DE" w:rsidP="009A7145">
      <w:pPr>
        <w:spacing w:after="0" w:line="240" w:lineRule="auto"/>
      </w:pPr>
      <w:r>
        <w:separator/>
      </w:r>
    </w:p>
  </w:footnote>
  <w:footnote w:type="continuationSeparator" w:id="0">
    <w:p w14:paraId="2561AD73" w14:textId="77777777" w:rsidR="005254DE" w:rsidRDefault="005254DE" w:rsidP="009A7145">
      <w:pPr>
        <w:spacing w:after="0" w:line="240" w:lineRule="auto"/>
      </w:pPr>
      <w:r>
        <w:continuationSeparator/>
      </w:r>
    </w:p>
  </w:footnote>
  <w:footnote w:id="1">
    <w:p w14:paraId="6DD42464" w14:textId="77777777" w:rsidR="009A7145" w:rsidRPr="002A043F" w:rsidRDefault="009A7145" w:rsidP="00FF5303">
      <w:pPr>
        <w:spacing w:after="100" w:line="240" w:lineRule="auto"/>
        <w:rPr>
          <w:rFonts w:ascii="Palatino Linotype" w:hAnsi="Palatino Linotype"/>
        </w:rPr>
      </w:pPr>
      <w:r w:rsidRPr="002A043F">
        <w:rPr>
          <w:rStyle w:val="FootnoteReference"/>
          <w:rFonts w:ascii="Palatino Linotype" w:hAnsi="Palatino Linotype"/>
          <w:sz w:val="20"/>
          <w:szCs w:val="20"/>
        </w:rPr>
        <w:footnoteRef/>
      </w:r>
      <w:r w:rsidRPr="002A043F">
        <w:rPr>
          <w:rFonts w:ascii="Palatino Linotype" w:hAnsi="Palatino Linotype"/>
          <w:sz w:val="20"/>
          <w:szCs w:val="20"/>
        </w:rPr>
        <w:t xml:space="preserve"> </w:t>
      </w:r>
      <w:r w:rsidR="00AD35A7" w:rsidRPr="002A043F">
        <w:rPr>
          <w:rFonts w:ascii="Palatino Linotype" w:hAnsi="Palatino Linotype"/>
          <w:i/>
          <w:sz w:val="20"/>
          <w:szCs w:val="20"/>
        </w:rPr>
        <w:t>House of Commons Debates</w:t>
      </w:r>
      <w:r w:rsidR="00AD35A7" w:rsidRPr="002A043F">
        <w:rPr>
          <w:rFonts w:ascii="Palatino Linotype" w:hAnsi="Palatino Linotype"/>
          <w:sz w:val="20"/>
          <w:szCs w:val="20"/>
        </w:rPr>
        <w:t xml:space="preserve">, 5th series, vol.24, c.1108, </w:t>
      </w:r>
      <w:r w:rsidR="00AD35A7" w:rsidRPr="002A043F">
        <w:rPr>
          <w:rFonts w:ascii="Palatino Linotype" w:eastAsia="Times New Roman" w:hAnsi="Palatino Linotype" w:cs="Times New Roman"/>
          <w:color w:val="000000"/>
          <w:sz w:val="20"/>
          <w:szCs w:val="20"/>
          <w:lang w:eastAsia="en-GB"/>
        </w:rPr>
        <w:t>20 April 1911.</w:t>
      </w:r>
    </w:p>
  </w:footnote>
  <w:footnote w:id="2">
    <w:p w14:paraId="7E850776" w14:textId="77777777" w:rsidR="00FF5303" w:rsidRPr="002A043F" w:rsidRDefault="00FF5303" w:rsidP="00FF5303">
      <w:pPr>
        <w:pStyle w:val="FootnoteText"/>
        <w:rPr>
          <w:rFonts w:ascii="Palatino Linotype" w:hAnsi="Palatino Linotype"/>
        </w:rPr>
      </w:pPr>
      <w:r w:rsidRPr="002A043F">
        <w:rPr>
          <w:rStyle w:val="FootnoteReference"/>
          <w:rFonts w:ascii="Palatino Linotype" w:hAnsi="Palatino Linotype"/>
        </w:rPr>
        <w:footnoteRef/>
      </w:r>
      <w:r w:rsidRPr="002A043F">
        <w:rPr>
          <w:rFonts w:ascii="Palatino Linotype" w:hAnsi="Palatino Linotype"/>
        </w:rPr>
        <w:t xml:space="preserve"> </w:t>
      </w:r>
      <w:proofErr w:type="gramStart"/>
      <w:r w:rsidR="002A043F" w:rsidRPr="002A043F">
        <w:rPr>
          <w:rFonts w:ascii="Palatino Linotype" w:hAnsi="Palatino Linotype"/>
        </w:rPr>
        <w:t>Sir Ivor Jennings, '</w:t>
      </w:r>
      <w:r w:rsidR="002A043F">
        <w:rPr>
          <w:rFonts w:ascii="Palatino Linotype" w:hAnsi="Palatino Linotype"/>
          <w:i/>
        </w:rPr>
        <w:t>Magna Carta</w:t>
      </w:r>
      <w:r w:rsidR="002A043F">
        <w:rPr>
          <w:rFonts w:ascii="Palatino Linotype" w:hAnsi="Palatino Linotype"/>
        </w:rPr>
        <w:t xml:space="preserve"> and constitutionalism in the Commonwealth 1964-65' in </w:t>
      </w:r>
      <w:proofErr w:type="spellStart"/>
      <w:r w:rsidR="002A043F">
        <w:rPr>
          <w:rFonts w:ascii="Palatino Linotype" w:hAnsi="Palatino Linotype"/>
        </w:rPr>
        <w:t>Harshan</w:t>
      </w:r>
      <w:proofErr w:type="spellEnd"/>
      <w:r w:rsidR="002A043F">
        <w:rPr>
          <w:rFonts w:ascii="Palatino Linotype" w:hAnsi="Palatino Linotype"/>
        </w:rPr>
        <w:t xml:space="preserve"> </w:t>
      </w:r>
      <w:proofErr w:type="spellStart"/>
      <w:r w:rsidR="002A043F">
        <w:rPr>
          <w:rFonts w:ascii="Palatino Linotype" w:hAnsi="Palatino Linotype"/>
        </w:rPr>
        <w:t>Kumarasingham</w:t>
      </w:r>
      <w:proofErr w:type="spellEnd"/>
      <w:r w:rsidR="002A043F">
        <w:rPr>
          <w:rFonts w:ascii="Palatino Linotype" w:hAnsi="Palatino Linotype"/>
        </w:rPr>
        <w:t xml:space="preserve"> (</w:t>
      </w:r>
      <w:proofErr w:type="spellStart"/>
      <w:r w:rsidR="002A043F">
        <w:rPr>
          <w:rFonts w:ascii="Palatino Linotype" w:hAnsi="Palatino Linotype"/>
        </w:rPr>
        <w:t>ed</w:t>
      </w:r>
      <w:proofErr w:type="spellEnd"/>
      <w:r w:rsidR="002A043F">
        <w:rPr>
          <w:rFonts w:ascii="Palatino Linotype" w:hAnsi="Palatino Linotype"/>
        </w:rPr>
        <w:t xml:space="preserve">), </w:t>
      </w:r>
      <w:r w:rsidR="002A043F">
        <w:rPr>
          <w:rFonts w:ascii="Palatino Linotype" w:hAnsi="Palatino Linotype"/>
          <w:i/>
        </w:rPr>
        <w:t>Constitution-Maker: Selected Writings of Sir Ivor Jennings</w:t>
      </w:r>
      <w:r w:rsidR="002A043F">
        <w:rPr>
          <w:rFonts w:ascii="Palatino Linotype" w:hAnsi="Palatino Linotype"/>
        </w:rPr>
        <w:t xml:space="preserve"> (Cambridge; Cambridge University Press, 2014), p.273.</w:t>
      </w:r>
      <w:proofErr w:type="gramEnd"/>
    </w:p>
  </w:footnote>
  <w:footnote w:id="3">
    <w:p w14:paraId="507C32E0" w14:textId="77777777" w:rsidR="00786003" w:rsidRDefault="00786003" w:rsidP="00D660F8">
      <w:pPr>
        <w:spacing w:after="0" w:line="336" w:lineRule="atLeast"/>
      </w:pPr>
      <w:r w:rsidRPr="00786003">
        <w:rPr>
          <w:rStyle w:val="FootnoteReference"/>
          <w:rFonts w:ascii="Palatino Linotype" w:hAnsi="Palatino Linotype"/>
          <w:sz w:val="20"/>
          <w:szCs w:val="20"/>
        </w:rPr>
        <w:footnoteRef/>
      </w:r>
      <w:r w:rsidRPr="00786003">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5th series, vol.51, c.2037, </w:t>
      </w:r>
      <w:r w:rsidRPr="00786003">
        <w:rPr>
          <w:rStyle w:val="HTMLCite"/>
          <w:rFonts w:ascii="Palatino Linotype" w:hAnsi="Palatino Linotype"/>
          <w:i w:val="0"/>
          <w:iCs w:val="0"/>
          <w:color w:val="000000"/>
          <w:sz w:val="20"/>
          <w:szCs w:val="20"/>
        </w:rPr>
        <w:t>16 April 1913</w:t>
      </w:r>
      <w:r>
        <w:rPr>
          <w:rStyle w:val="HTMLCite"/>
          <w:rFonts w:ascii="Palatino Linotype" w:hAnsi="Palatino Linotype"/>
          <w:i w:val="0"/>
          <w:iCs w:val="0"/>
          <w:color w:val="000000"/>
          <w:sz w:val="20"/>
          <w:szCs w:val="20"/>
        </w:rPr>
        <w:t>.</w:t>
      </w:r>
    </w:p>
  </w:footnote>
  <w:footnote w:id="4">
    <w:p w14:paraId="47B8A2B3" w14:textId="77777777" w:rsidR="0056022B" w:rsidRDefault="0056022B" w:rsidP="00D660F8">
      <w:pPr>
        <w:spacing w:after="0" w:line="240" w:lineRule="auto"/>
      </w:pPr>
      <w:r w:rsidRPr="0056022B">
        <w:rPr>
          <w:rStyle w:val="FootnoteReference"/>
          <w:rFonts w:ascii="Palatino Linotype" w:hAnsi="Palatino Linotype"/>
          <w:sz w:val="20"/>
          <w:szCs w:val="20"/>
        </w:rPr>
        <w:footnoteRef/>
      </w:r>
      <w:r w:rsidRPr="0056022B">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4th series, vol.83, c.792, </w:t>
      </w:r>
      <w:r w:rsidRPr="0056022B">
        <w:rPr>
          <w:rFonts w:ascii="Palatino Linotype" w:eastAsia="Times New Roman" w:hAnsi="Palatino Linotype" w:cs="Times New Roman"/>
          <w:color w:val="000000"/>
          <w:sz w:val="20"/>
          <w:szCs w:val="20"/>
          <w:lang w:eastAsia="en-GB"/>
        </w:rPr>
        <w:t>21 May 1900</w:t>
      </w:r>
      <w:r>
        <w:rPr>
          <w:rFonts w:ascii="Palatino Linotype" w:eastAsia="Times New Roman" w:hAnsi="Palatino Linotype" w:cs="Times New Roman"/>
          <w:color w:val="000000"/>
          <w:sz w:val="20"/>
          <w:szCs w:val="20"/>
          <w:lang w:eastAsia="en-GB"/>
        </w:rPr>
        <w:t>.</w:t>
      </w:r>
    </w:p>
  </w:footnote>
  <w:footnote w:id="5">
    <w:p w14:paraId="11469960" w14:textId="77777777" w:rsidR="00D33EDA" w:rsidRPr="00D33EDA" w:rsidRDefault="00D33EDA" w:rsidP="006769DF">
      <w:pPr>
        <w:pStyle w:val="FootnoteText"/>
        <w:rPr>
          <w:rFonts w:ascii="Palatino Linotype" w:hAnsi="Palatino Linotype"/>
        </w:rPr>
      </w:pPr>
      <w:r>
        <w:rPr>
          <w:rStyle w:val="FootnoteReference"/>
        </w:rPr>
        <w:footnoteRef/>
      </w:r>
      <w:r>
        <w:t xml:space="preserve"> </w:t>
      </w:r>
      <w:r>
        <w:rPr>
          <w:rFonts w:ascii="Palatino Linotype" w:hAnsi="Palatino Linotype"/>
        </w:rPr>
        <w:t xml:space="preserve">I use British here because Scottish and Irish MPs were just as apt to invoke </w:t>
      </w:r>
      <w:r>
        <w:rPr>
          <w:rFonts w:ascii="Palatino Linotype" w:hAnsi="Palatino Linotype"/>
          <w:i/>
        </w:rPr>
        <w:t>Magna Charta</w:t>
      </w:r>
      <w:r>
        <w:rPr>
          <w:rFonts w:ascii="Palatino Linotype" w:hAnsi="Palatino Linotype"/>
        </w:rPr>
        <w:t xml:space="preserve"> as English ones. However, it does not seem to have been cited by any Welsh MPs in the period.</w:t>
      </w:r>
    </w:p>
  </w:footnote>
  <w:footnote w:id="6">
    <w:p w14:paraId="5C76C460" w14:textId="77777777" w:rsidR="0056301C" w:rsidRPr="0056301C" w:rsidRDefault="0056301C" w:rsidP="006769DF">
      <w:pPr>
        <w:spacing w:after="0" w:line="240" w:lineRule="auto"/>
        <w:rPr>
          <w:rFonts w:ascii="Palatino Linotype" w:hAnsi="Palatino Linotype"/>
        </w:rPr>
      </w:pPr>
      <w:r w:rsidRPr="0056301C">
        <w:rPr>
          <w:rStyle w:val="FootnoteReference"/>
          <w:rFonts w:ascii="Palatino Linotype" w:hAnsi="Palatino Linotype"/>
          <w:sz w:val="20"/>
          <w:szCs w:val="20"/>
        </w:rPr>
        <w:footnoteRef/>
      </w:r>
      <w:r w:rsidRPr="0056301C">
        <w:rPr>
          <w:rFonts w:ascii="Palatino Linotype" w:hAnsi="Palatino Linotype"/>
          <w:sz w:val="20"/>
          <w:szCs w:val="20"/>
        </w:rPr>
        <w:t xml:space="preserve"> </w:t>
      </w:r>
      <w:r w:rsidR="00EC2240">
        <w:rPr>
          <w:rFonts w:ascii="Palatino Linotype" w:hAnsi="Palatino Linotype"/>
          <w:i/>
          <w:sz w:val="20"/>
          <w:szCs w:val="20"/>
        </w:rPr>
        <w:t>House of Commons Debates</w:t>
      </w:r>
      <w:r w:rsidR="00EC2240">
        <w:rPr>
          <w:rFonts w:ascii="Palatino Linotype" w:hAnsi="Palatino Linotype"/>
          <w:sz w:val="20"/>
          <w:szCs w:val="20"/>
        </w:rPr>
        <w:t>, 5th series, vol.13, c.475, 1</w:t>
      </w:r>
      <w:r w:rsidRPr="0056301C">
        <w:rPr>
          <w:rFonts w:ascii="Palatino Linotype" w:eastAsia="Times New Roman" w:hAnsi="Palatino Linotype" w:cs="Times New Roman"/>
          <w:color w:val="000000"/>
          <w:sz w:val="20"/>
          <w:szCs w:val="20"/>
          <w:lang w:eastAsia="en-GB"/>
        </w:rPr>
        <w:t xml:space="preserve"> December 1909</w:t>
      </w:r>
      <w:r w:rsidR="00EC2240">
        <w:rPr>
          <w:rFonts w:ascii="Palatino Linotype" w:eastAsia="Times New Roman" w:hAnsi="Palatino Linotype" w:cs="Times New Roman"/>
          <w:color w:val="000000"/>
          <w:sz w:val="20"/>
          <w:szCs w:val="20"/>
          <w:lang w:eastAsia="en-GB"/>
        </w:rPr>
        <w:t>.</w:t>
      </w:r>
    </w:p>
  </w:footnote>
  <w:footnote w:id="7">
    <w:p w14:paraId="5358822C" w14:textId="77777777" w:rsidR="00B96478" w:rsidRPr="00972DE4" w:rsidRDefault="00B96478" w:rsidP="0017209D">
      <w:pPr>
        <w:spacing w:after="0" w:line="240" w:lineRule="auto"/>
        <w:rPr>
          <w:rFonts w:ascii="Palatino Linotype" w:hAnsi="Palatino Linotype"/>
          <w:i/>
          <w:sz w:val="20"/>
          <w:szCs w:val="20"/>
        </w:rPr>
      </w:pPr>
      <w:r w:rsidRPr="00B96478">
        <w:rPr>
          <w:rStyle w:val="FootnoteReference"/>
          <w:rFonts w:ascii="Palatino Linotype" w:hAnsi="Palatino Linotype"/>
          <w:sz w:val="20"/>
          <w:szCs w:val="20"/>
        </w:rPr>
        <w:footnoteRef/>
      </w:r>
      <w:r w:rsidRPr="00B96478">
        <w:rPr>
          <w:rFonts w:ascii="Palatino Linotype" w:hAnsi="Palatino Linotype"/>
          <w:sz w:val="20"/>
          <w:szCs w:val="20"/>
        </w:rPr>
        <w:t xml:space="preserve"> </w:t>
      </w:r>
      <w:r w:rsidR="00972DE4">
        <w:rPr>
          <w:rFonts w:ascii="Palatino Linotype" w:hAnsi="Palatino Linotype"/>
          <w:i/>
          <w:sz w:val="20"/>
          <w:szCs w:val="20"/>
        </w:rPr>
        <w:t>House of Commons Debates</w:t>
      </w:r>
      <w:r w:rsidR="00972DE4">
        <w:rPr>
          <w:rFonts w:ascii="Palatino Linotype" w:hAnsi="Palatino Linotype"/>
          <w:sz w:val="20"/>
          <w:szCs w:val="20"/>
        </w:rPr>
        <w:t xml:space="preserve">, 5th series, vol.7, c.233, </w:t>
      </w:r>
      <w:r w:rsidRPr="00B96478">
        <w:rPr>
          <w:rFonts w:ascii="Palatino Linotype" w:eastAsia="Times New Roman" w:hAnsi="Palatino Linotype" w:cs="Times New Roman"/>
          <w:color w:val="000000"/>
          <w:sz w:val="20"/>
          <w:szCs w:val="20"/>
          <w:lang w:eastAsia="en-GB"/>
        </w:rPr>
        <w:t>29 June 1909</w:t>
      </w:r>
      <w:r w:rsidR="00972DE4">
        <w:rPr>
          <w:rFonts w:ascii="Palatino Linotype" w:eastAsia="Times New Roman" w:hAnsi="Palatino Linotype" w:cs="Times New Roman"/>
          <w:color w:val="000000"/>
          <w:sz w:val="20"/>
          <w:szCs w:val="20"/>
          <w:lang w:eastAsia="en-GB"/>
        </w:rPr>
        <w:t xml:space="preserve">. </w:t>
      </w:r>
      <w:proofErr w:type="spellStart"/>
      <w:r w:rsidR="00972DE4">
        <w:rPr>
          <w:rFonts w:ascii="Palatino Linotype" w:eastAsia="Times New Roman" w:hAnsi="Palatino Linotype" w:cs="Times New Roman"/>
          <w:color w:val="000000"/>
          <w:sz w:val="20"/>
          <w:szCs w:val="20"/>
          <w:lang w:eastAsia="en-GB"/>
        </w:rPr>
        <w:t>Hardie</w:t>
      </w:r>
      <w:proofErr w:type="spellEnd"/>
      <w:r w:rsidR="00972DE4">
        <w:rPr>
          <w:rFonts w:ascii="Palatino Linotype" w:eastAsia="Times New Roman" w:hAnsi="Palatino Linotype" w:cs="Times New Roman"/>
          <w:color w:val="000000"/>
          <w:sz w:val="20"/>
          <w:szCs w:val="20"/>
          <w:lang w:eastAsia="en-GB"/>
        </w:rPr>
        <w:t xml:space="preserve"> was advised by Mr Speaker </w:t>
      </w:r>
      <w:proofErr w:type="spellStart"/>
      <w:r w:rsidR="006769DF">
        <w:rPr>
          <w:rFonts w:ascii="Palatino Linotype" w:eastAsia="Times New Roman" w:hAnsi="Palatino Linotype" w:cs="Times New Roman"/>
          <w:color w:val="000000"/>
          <w:sz w:val="20"/>
          <w:szCs w:val="20"/>
          <w:lang w:eastAsia="en-GB"/>
        </w:rPr>
        <w:t>L</w:t>
      </w:r>
      <w:r w:rsidR="00972DE4">
        <w:rPr>
          <w:rFonts w:ascii="Palatino Linotype" w:eastAsia="Times New Roman" w:hAnsi="Palatino Linotype" w:cs="Times New Roman"/>
          <w:color w:val="000000"/>
          <w:sz w:val="20"/>
          <w:szCs w:val="20"/>
          <w:lang w:eastAsia="en-GB"/>
        </w:rPr>
        <w:t>owther</w:t>
      </w:r>
      <w:proofErr w:type="spellEnd"/>
      <w:r w:rsidR="00972DE4">
        <w:rPr>
          <w:rFonts w:ascii="Palatino Linotype" w:eastAsia="Times New Roman" w:hAnsi="Palatino Linotype" w:cs="Times New Roman"/>
          <w:color w:val="000000"/>
          <w:sz w:val="20"/>
          <w:szCs w:val="20"/>
          <w:lang w:eastAsia="en-GB"/>
        </w:rPr>
        <w:t xml:space="preserve"> that </w:t>
      </w:r>
      <w:r w:rsidR="00972DE4" w:rsidRPr="00972DE4">
        <w:rPr>
          <w:rFonts w:ascii="Palatino Linotype" w:eastAsia="Times New Roman" w:hAnsi="Palatino Linotype" w:cs="Times New Roman"/>
          <w:color w:val="000000"/>
          <w:sz w:val="20"/>
          <w:szCs w:val="20"/>
          <w:lang w:eastAsia="en-GB"/>
        </w:rPr>
        <w:t>'</w:t>
      </w:r>
      <w:r w:rsidR="00972DE4" w:rsidRPr="00972DE4">
        <w:rPr>
          <w:rFonts w:ascii="Palatino Linotype" w:hAnsi="Palatino Linotype"/>
          <w:color w:val="000000"/>
          <w:sz w:val="20"/>
          <w:szCs w:val="20"/>
        </w:rPr>
        <w:t>There is no doubt that the public have the right to petition, but I did not understand that that was the point raised by the hon. Member. He spoke of a deputation, and I do not know whether there is any right on the part of the public to compel a Minister to attend a deputation.</w:t>
      </w:r>
      <w:r w:rsidR="00972DE4">
        <w:rPr>
          <w:rFonts w:ascii="Palatino Linotype" w:hAnsi="Palatino Linotype"/>
          <w:color w:val="000000"/>
          <w:sz w:val="20"/>
          <w:szCs w:val="20"/>
        </w:rPr>
        <w:t>'</w:t>
      </w:r>
    </w:p>
  </w:footnote>
  <w:footnote w:id="8">
    <w:p w14:paraId="0586B006" w14:textId="77777777" w:rsidR="009F11D5" w:rsidRPr="006769DF" w:rsidRDefault="009F11D5" w:rsidP="00B65CEB">
      <w:pPr>
        <w:pStyle w:val="FootnoteText"/>
        <w:rPr>
          <w:rFonts w:ascii="Palatino Linotype" w:hAnsi="Palatino Linotype"/>
        </w:rPr>
      </w:pPr>
      <w:r w:rsidRPr="006769DF">
        <w:rPr>
          <w:rStyle w:val="FootnoteReference"/>
          <w:rFonts w:ascii="Palatino Linotype" w:hAnsi="Palatino Linotype"/>
        </w:rPr>
        <w:footnoteRef/>
      </w:r>
      <w:r w:rsidRPr="006769DF">
        <w:rPr>
          <w:rFonts w:ascii="Palatino Linotype" w:hAnsi="Palatino Linotype"/>
        </w:rPr>
        <w:t xml:space="preserve"> Ernest </w:t>
      </w:r>
      <w:proofErr w:type="spellStart"/>
      <w:r w:rsidRPr="006769DF">
        <w:rPr>
          <w:rFonts w:ascii="Palatino Linotype" w:hAnsi="Palatino Linotype"/>
        </w:rPr>
        <w:t>Soares</w:t>
      </w:r>
      <w:proofErr w:type="spellEnd"/>
      <w:r w:rsidRPr="006769DF">
        <w:rPr>
          <w:rFonts w:ascii="Palatino Linotype" w:hAnsi="Palatino Linotype"/>
        </w:rPr>
        <w:t xml:space="preserve"> (Liberal MP), </w:t>
      </w:r>
      <w:r w:rsidRPr="006769DF">
        <w:rPr>
          <w:rFonts w:ascii="Palatino Linotype" w:hAnsi="Palatino Linotype"/>
          <w:i/>
        </w:rPr>
        <w:t>House of Commons Debates</w:t>
      </w:r>
      <w:r w:rsidRPr="006769DF">
        <w:rPr>
          <w:rFonts w:ascii="Palatino Linotype" w:hAnsi="Palatino Linotype"/>
        </w:rPr>
        <w:t>, 4th series, vol.126, c.1461, 4 August 1903.</w:t>
      </w:r>
    </w:p>
  </w:footnote>
  <w:footnote w:id="9">
    <w:p w14:paraId="1B1B8816" w14:textId="77777777" w:rsidR="00B65CEB" w:rsidRPr="00B65CEB" w:rsidRDefault="00B65CEB" w:rsidP="0017209D">
      <w:pPr>
        <w:spacing w:after="0" w:line="240" w:lineRule="auto"/>
        <w:rPr>
          <w:rFonts w:ascii="Palatino Linotype" w:hAnsi="Palatino Linotype"/>
          <w:sz w:val="20"/>
          <w:szCs w:val="20"/>
        </w:rPr>
      </w:pPr>
      <w:r w:rsidRPr="00B65CEB">
        <w:rPr>
          <w:rStyle w:val="FootnoteReference"/>
          <w:rFonts w:ascii="Palatino Linotype" w:hAnsi="Palatino Linotype"/>
          <w:sz w:val="20"/>
          <w:szCs w:val="20"/>
        </w:rPr>
        <w:footnoteRef/>
      </w:r>
      <w:r w:rsidRPr="00B65CEB">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4th series, vol.101, c.480,</w:t>
      </w:r>
      <w:r w:rsidRPr="00B65CEB">
        <w:rPr>
          <w:rFonts w:ascii="Palatino Linotype" w:eastAsia="Times New Roman" w:hAnsi="Palatino Linotype" w:cs="Times New Roman"/>
          <w:color w:val="000000"/>
          <w:sz w:val="20"/>
          <w:szCs w:val="20"/>
          <w:lang w:eastAsia="en-GB"/>
        </w:rPr>
        <w:t xml:space="preserve"> 21 January 1902</w:t>
      </w:r>
      <w:r>
        <w:rPr>
          <w:rFonts w:ascii="Palatino Linotype" w:eastAsia="Times New Roman" w:hAnsi="Palatino Linotype" w:cs="Times New Roman"/>
          <w:color w:val="000000"/>
          <w:sz w:val="20"/>
          <w:szCs w:val="20"/>
          <w:lang w:eastAsia="en-GB"/>
        </w:rPr>
        <w:t>.</w:t>
      </w:r>
    </w:p>
  </w:footnote>
  <w:footnote w:id="10">
    <w:p w14:paraId="0A40666C" w14:textId="77777777" w:rsidR="00EE1321" w:rsidRPr="00EE1321" w:rsidRDefault="00EE1321" w:rsidP="00B65CEB">
      <w:pPr>
        <w:spacing w:line="240" w:lineRule="auto"/>
        <w:rPr>
          <w:rFonts w:ascii="Palatino Linotype" w:hAnsi="Palatino Linotype"/>
          <w:color w:val="000000"/>
          <w:sz w:val="20"/>
          <w:szCs w:val="20"/>
        </w:rPr>
      </w:pPr>
      <w:r w:rsidRPr="00EE1321">
        <w:rPr>
          <w:rStyle w:val="FootnoteReference"/>
          <w:rFonts w:ascii="Palatino Linotype" w:hAnsi="Palatino Linotype"/>
          <w:sz w:val="20"/>
          <w:szCs w:val="20"/>
        </w:rPr>
        <w:footnoteRef/>
      </w:r>
      <w:r w:rsidRPr="00EE1321">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5th series, vol.29, c.2253, </w:t>
      </w:r>
      <w:r w:rsidRPr="00EE1321">
        <w:rPr>
          <w:rStyle w:val="HTMLCite"/>
          <w:rFonts w:ascii="Palatino Linotype" w:hAnsi="Palatino Linotype"/>
          <w:i w:val="0"/>
          <w:iCs w:val="0"/>
          <w:color w:val="000000"/>
          <w:sz w:val="20"/>
          <w:szCs w:val="20"/>
        </w:rPr>
        <w:t>18 August 1911</w:t>
      </w:r>
      <w:r>
        <w:rPr>
          <w:rStyle w:val="HTMLCite"/>
          <w:rFonts w:ascii="Palatino Linotype" w:hAnsi="Palatino Linotype"/>
          <w:i w:val="0"/>
          <w:iCs w:val="0"/>
          <w:color w:val="000000"/>
          <w:sz w:val="20"/>
          <w:szCs w:val="20"/>
        </w:rPr>
        <w:t>.</w:t>
      </w:r>
    </w:p>
    <w:p w14:paraId="63A5FA13" w14:textId="77777777" w:rsidR="00EE1321" w:rsidRDefault="00EE1321">
      <w:pPr>
        <w:pStyle w:val="FootnoteText"/>
      </w:pPr>
    </w:p>
  </w:footnote>
  <w:footnote w:id="11">
    <w:p w14:paraId="7177979F" w14:textId="77777777" w:rsidR="00882F47" w:rsidRPr="00882F47" w:rsidRDefault="00882F47" w:rsidP="00092065">
      <w:pPr>
        <w:pStyle w:val="FootnoteText"/>
        <w:rPr>
          <w:rFonts w:ascii="Palatino Linotype" w:hAnsi="Palatino Linotype"/>
        </w:rPr>
      </w:pPr>
      <w:r w:rsidRPr="00882F47">
        <w:rPr>
          <w:rStyle w:val="FootnoteReference"/>
          <w:rFonts w:ascii="Palatino Linotype" w:hAnsi="Palatino Linotype"/>
        </w:rPr>
        <w:footnoteRef/>
      </w:r>
      <w:r w:rsidRPr="00882F47">
        <w:rPr>
          <w:rFonts w:ascii="Palatino Linotype" w:hAnsi="Palatino Linotype"/>
        </w:rPr>
        <w:t xml:space="preserve"> </w:t>
      </w:r>
      <w:r w:rsidRPr="00882F47">
        <w:rPr>
          <w:rFonts w:ascii="Palatino Linotype" w:hAnsi="Palatino Linotype"/>
          <w:i/>
        </w:rPr>
        <w:t>House of Comm</w:t>
      </w:r>
      <w:r>
        <w:rPr>
          <w:rFonts w:ascii="Palatino Linotype" w:hAnsi="Palatino Linotype"/>
          <w:i/>
        </w:rPr>
        <w:t>ons Debates</w:t>
      </w:r>
      <w:r>
        <w:rPr>
          <w:rFonts w:ascii="Palatino Linotype" w:hAnsi="Palatino Linotype"/>
        </w:rPr>
        <w:t>, 5th series, vol.1, cc.807-45, 24 February 1909.</w:t>
      </w:r>
    </w:p>
  </w:footnote>
  <w:footnote w:id="12">
    <w:p w14:paraId="14009E1C" w14:textId="77777777" w:rsidR="00047013" w:rsidRDefault="00047013" w:rsidP="00092065">
      <w:pPr>
        <w:spacing w:after="0" w:line="240" w:lineRule="auto"/>
      </w:pPr>
      <w:r w:rsidRPr="00047013">
        <w:rPr>
          <w:rStyle w:val="FootnoteReference"/>
          <w:rFonts w:ascii="Palatino Linotype" w:hAnsi="Palatino Linotype"/>
          <w:sz w:val="20"/>
          <w:szCs w:val="20"/>
        </w:rPr>
        <w:footnoteRef/>
      </w:r>
      <w:r w:rsidRPr="00047013">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5th series, vol.51, c.1038, </w:t>
      </w:r>
      <w:r w:rsidRPr="00047013">
        <w:rPr>
          <w:rStyle w:val="HTMLCite"/>
          <w:rFonts w:ascii="Palatino Linotype" w:hAnsi="Palatino Linotype"/>
          <w:i w:val="0"/>
          <w:iCs w:val="0"/>
          <w:color w:val="000000"/>
          <w:sz w:val="20"/>
          <w:szCs w:val="20"/>
        </w:rPr>
        <w:t>8 April 1913</w:t>
      </w:r>
      <w:r>
        <w:rPr>
          <w:rStyle w:val="HTMLCite"/>
          <w:rFonts w:ascii="Palatino Linotype" w:hAnsi="Palatino Linotype"/>
          <w:i w:val="0"/>
          <w:iCs w:val="0"/>
          <w:color w:val="000000"/>
          <w:sz w:val="20"/>
          <w:szCs w:val="20"/>
        </w:rPr>
        <w:t>.</w:t>
      </w:r>
    </w:p>
  </w:footnote>
  <w:footnote w:id="13">
    <w:p w14:paraId="76BE48A6" w14:textId="77777777" w:rsidR="00A30E05" w:rsidRPr="00A30E05" w:rsidRDefault="00A30E05" w:rsidP="00092065">
      <w:pPr>
        <w:pStyle w:val="FootnoteText"/>
        <w:rPr>
          <w:rFonts w:ascii="Palatino Linotype" w:hAnsi="Palatino Linotype"/>
        </w:rPr>
      </w:pPr>
      <w:r w:rsidRPr="00A30E05">
        <w:rPr>
          <w:rStyle w:val="FootnoteReference"/>
          <w:rFonts w:ascii="Palatino Linotype" w:hAnsi="Palatino Linotype"/>
        </w:rPr>
        <w:footnoteRef/>
      </w:r>
      <w:r w:rsidRPr="00A30E05">
        <w:rPr>
          <w:rFonts w:ascii="Palatino Linotype" w:hAnsi="Palatino Linotype"/>
        </w:rPr>
        <w:t xml:space="preserve"> </w:t>
      </w:r>
      <w:r>
        <w:rPr>
          <w:rFonts w:ascii="Palatino Linotype" w:hAnsi="Palatino Linotype"/>
          <w:i/>
        </w:rPr>
        <w:t>House of Lords Debates</w:t>
      </w:r>
      <w:r>
        <w:rPr>
          <w:rFonts w:ascii="Palatino Linotype" w:hAnsi="Palatino Linotype"/>
        </w:rPr>
        <w:t>, 5th series, vol.15, c.119, 11 February 1914.</w:t>
      </w:r>
    </w:p>
  </w:footnote>
  <w:footnote w:id="14">
    <w:p w14:paraId="7CF5F625" w14:textId="77777777" w:rsidR="00092065" w:rsidRPr="00092065" w:rsidRDefault="00092065" w:rsidP="00092065">
      <w:pPr>
        <w:spacing w:after="0" w:line="336" w:lineRule="atLeast"/>
        <w:rPr>
          <w:rFonts w:ascii="Palatino Linotype" w:eastAsia="Times New Roman" w:hAnsi="Palatino Linotype" w:cs="Times New Roman"/>
          <w:color w:val="000000"/>
          <w:sz w:val="20"/>
          <w:szCs w:val="20"/>
          <w:lang w:eastAsia="en-GB"/>
        </w:rPr>
      </w:pPr>
      <w:r w:rsidRPr="00092065">
        <w:rPr>
          <w:rStyle w:val="FootnoteReference"/>
          <w:rFonts w:ascii="Palatino Linotype" w:hAnsi="Palatino Linotype"/>
          <w:sz w:val="20"/>
          <w:szCs w:val="20"/>
        </w:rPr>
        <w:footnoteRef/>
      </w:r>
      <w:r>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4th series, vol.83, c.1315, </w:t>
      </w:r>
      <w:r w:rsidRPr="00092065">
        <w:rPr>
          <w:rFonts w:ascii="Palatino Linotype" w:eastAsia="Times New Roman" w:hAnsi="Palatino Linotype" w:cs="Times New Roman"/>
          <w:color w:val="000000"/>
          <w:sz w:val="20"/>
          <w:szCs w:val="20"/>
          <w:lang w:eastAsia="en-GB"/>
        </w:rPr>
        <w:t>25 May 1900</w:t>
      </w:r>
      <w:r>
        <w:rPr>
          <w:rFonts w:ascii="Palatino Linotype" w:eastAsia="Times New Roman" w:hAnsi="Palatino Linotype" w:cs="Times New Roman"/>
          <w:color w:val="000000"/>
          <w:sz w:val="20"/>
          <w:szCs w:val="20"/>
          <w:lang w:eastAsia="en-GB"/>
        </w:rPr>
        <w:t>.</w:t>
      </w:r>
    </w:p>
    <w:p w14:paraId="02F0F4BD" w14:textId="77777777" w:rsidR="00092065" w:rsidRDefault="00092065">
      <w:pPr>
        <w:pStyle w:val="FootnoteText"/>
      </w:pPr>
    </w:p>
  </w:footnote>
  <w:footnote w:id="15">
    <w:p w14:paraId="70E99D8C" w14:textId="77777777" w:rsidR="00376D0D" w:rsidRDefault="00376D0D" w:rsidP="008A2A72">
      <w:pPr>
        <w:spacing w:after="0" w:line="240" w:lineRule="auto"/>
      </w:pPr>
      <w:r w:rsidRPr="00376D0D">
        <w:rPr>
          <w:rStyle w:val="FootnoteReference"/>
          <w:rFonts w:ascii="Palatino Linotype" w:hAnsi="Palatino Linotype"/>
          <w:sz w:val="20"/>
          <w:szCs w:val="20"/>
        </w:rPr>
        <w:footnoteRef/>
      </w:r>
      <w:r w:rsidRPr="00376D0D">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4th series, vol.93, c.679, </w:t>
      </w:r>
      <w:r w:rsidRPr="00376D0D">
        <w:rPr>
          <w:rFonts w:ascii="Palatino Linotype" w:eastAsia="Times New Roman" w:hAnsi="Palatino Linotype" w:cs="Times New Roman"/>
          <w:color w:val="000000"/>
          <w:sz w:val="20"/>
          <w:szCs w:val="20"/>
          <w:lang w:eastAsia="en-GB"/>
        </w:rPr>
        <w:t>3 May 1901</w:t>
      </w:r>
      <w:r>
        <w:rPr>
          <w:rFonts w:ascii="Palatino Linotype" w:eastAsia="Times New Roman" w:hAnsi="Palatino Linotype" w:cs="Times New Roman"/>
          <w:color w:val="000000"/>
          <w:sz w:val="20"/>
          <w:szCs w:val="20"/>
          <w:lang w:eastAsia="en-GB"/>
        </w:rPr>
        <w:t xml:space="preserve"> (J. P. Farrell).</w:t>
      </w:r>
    </w:p>
  </w:footnote>
  <w:footnote w:id="16">
    <w:p w14:paraId="4D4DE81E" w14:textId="77777777" w:rsidR="00AB0B24" w:rsidRPr="00AB0B24" w:rsidRDefault="00AB0B24">
      <w:pPr>
        <w:pStyle w:val="FootnoteText"/>
        <w:rPr>
          <w:rFonts w:ascii="Palatino Linotype" w:hAnsi="Palatino Linotype"/>
        </w:rPr>
      </w:pPr>
      <w:r w:rsidRPr="00AB0B24">
        <w:rPr>
          <w:rStyle w:val="FootnoteReference"/>
          <w:rFonts w:ascii="Palatino Linotype" w:hAnsi="Palatino Linotype"/>
        </w:rPr>
        <w:footnoteRef/>
      </w:r>
      <w:r w:rsidRPr="00AB0B24">
        <w:rPr>
          <w:rFonts w:ascii="Palatino Linotype" w:hAnsi="Palatino Linotype"/>
        </w:rPr>
        <w:t xml:space="preserve"> </w:t>
      </w:r>
      <w:r>
        <w:rPr>
          <w:rFonts w:ascii="Palatino Linotype" w:hAnsi="Palatino Linotype"/>
          <w:i/>
        </w:rPr>
        <w:t>House of Commons Debates</w:t>
      </w:r>
      <w:r>
        <w:rPr>
          <w:rFonts w:ascii="Palatino Linotype" w:hAnsi="Palatino Linotype"/>
        </w:rPr>
        <w:t>, 4th series, vol.13, c.1087, 15 June 1893.</w:t>
      </w:r>
    </w:p>
  </w:footnote>
  <w:footnote w:id="17">
    <w:p w14:paraId="40CE92CD" w14:textId="77777777" w:rsidR="008A2A72" w:rsidRPr="008A2A72" w:rsidRDefault="008A2A72" w:rsidP="008A2A72">
      <w:pPr>
        <w:spacing w:line="336" w:lineRule="atLeast"/>
        <w:rPr>
          <w:rFonts w:ascii="Palatino Linotype" w:hAnsi="Palatino Linotype"/>
          <w:color w:val="000000"/>
          <w:sz w:val="20"/>
          <w:szCs w:val="20"/>
        </w:rPr>
      </w:pPr>
      <w:r w:rsidRPr="008A2A72">
        <w:rPr>
          <w:rStyle w:val="FootnoteReference"/>
          <w:rFonts w:ascii="Palatino Linotype" w:hAnsi="Palatino Linotype"/>
          <w:sz w:val="20"/>
          <w:szCs w:val="20"/>
        </w:rPr>
        <w:footnoteRef/>
      </w:r>
      <w:r w:rsidRPr="008A2A72">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5th series, vol.42, c.2297, </w:t>
      </w:r>
      <w:r w:rsidRPr="008A2A72">
        <w:rPr>
          <w:rStyle w:val="HTMLCite"/>
          <w:rFonts w:ascii="Palatino Linotype" w:hAnsi="Palatino Linotype"/>
          <w:i w:val="0"/>
          <w:iCs w:val="0"/>
          <w:color w:val="000000"/>
          <w:sz w:val="20"/>
          <w:szCs w:val="20"/>
        </w:rPr>
        <w:t>23 October 1912</w:t>
      </w:r>
      <w:r>
        <w:rPr>
          <w:rStyle w:val="HTMLCite"/>
          <w:rFonts w:ascii="Palatino Linotype" w:hAnsi="Palatino Linotype"/>
          <w:i w:val="0"/>
          <w:iCs w:val="0"/>
          <w:color w:val="000000"/>
          <w:sz w:val="20"/>
          <w:szCs w:val="20"/>
        </w:rPr>
        <w:t xml:space="preserve"> (James Campbell).</w:t>
      </w:r>
    </w:p>
    <w:p w14:paraId="4FE29C63" w14:textId="77777777" w:rsidR="008A2A72" w:rsidRDefault="008A2A72" w:rsidP="008A2A72">
      <w:pPr>
        <w:pStyle w:val="FootnoteText"/>
      </w:pPr>
    </w:p>
  </w:footnote>
  <w:footnote w:id="18">
    <w:p w14:paraId="43965A9B" w14:textId="77777777" w:rsidR="003B278E" w:rsidRPr="003B278E" w:rsidRDefault="003B278E" w:rsidP="003B278E">
      <w:pPr>
        <w:spacing w:after="0" w:line="240" w:lineRule="auto"/>
        <w:rPr>
          <w:rFonts w:ascii="Palatino Linotype" w:hAnsi="Palatino Linotype"/>
          <w:sz w:val="20"/>
          <w:szCs w:val="20"/>
        </w:rPr>
      </w:pPr>
      <w:r w:rsidRPr="003B278E">
        <w:rPr>
          <w:rStyle w:val="FootnoteReference"/>
          <w:rFonts w:ascii="Palatino Linotype" w:hAnsi="Palatino Linotype"/>
          <w:sz w:val="20"/>
          <w:szCs w:val="20"/>
        </w:rPr>
        <w:footnoteRef/>
      </w:r>
      <w:r w:rsidRPr="003B278E">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w:t>
      </w:r>
      <w:r w:rsidR="006769DF">
        <w:rPr>
          <w:rFonts w:ascii="Palatino Linotype" w:hAnsi="Palatino Linotype"/>
          <w:sz w:val="20"/>
          <w:szCs w:val="20"/>
        </w:rPr>
        <w:t xml:space="preserve">5th series, </w:t>
      </w:r>
      <w:r>
        <w:rPr>
          <w:rFonts w:ascii="Palatino Linotype" w:hAnsi="Palatino Linotype"/>
          <w:sz w:val="20"/>
          <w:szCs w:val="20"/>
        </w:rPr>
        <w:t xml:space="preserve">vol.3, </w:t>
      </w:r>
      <w:r w:rsidR="002A79EA">
        <w:rPr>
          <w:rFonts w:ascii="Palatino Linotype" w:hAnsi="Palatino Linotype"/>
          <w:sz w:val="20"/>
          <w:szCs w:val="20"/>
        </w:rPr>
        <w:t xml:space="preserve">c.858, </w:t>
      </w:r>
      <w:r w:rsidRPr="003B278E">
        <w:rPr>
          <w:rFonts w:ascii="Palatino Linotype" w:eastAsia="Times New Roman" w:hAnsi="Palatino Linotype" w:cs="Times New Roman"/>
          <w:color w:val="000000"/>
          <w:sz w:val="20"/>
          <w:szCs w:val="20"/>
          <w:lang w:eastAsia="en-GB"/>
        </w:rPr>
        <w:t>5 April 1909</w:t>
      </w:r>
      <w:r w:rsidR="002A79EA">
        <w:rPr>
          <w:rFonts w:ascii="Palatino Linotype" w:eastAsia="Times New Roman" w:hAnsi="Palatino Linotype" w:cs="Times New Roman"/>
          <w:color w:val="000000"/>
          <w:sz w:val="20"/>
          <w:szCs w:val="20"/>
          <w:lang w:eastAsia="en-GB"/>
        </w:rPr>
        <w:t>.</w:t>
      </w:r>
    </w:p>
  </w:footnote>
  <w:footnote w:id="19">
    <w:p w14:paraId="7A1EC193" w14:textId="77777777" w:rsidR="00761349" w:rsidRPr="002A79EA" w:rsidRDefault="00761349" w:rsidP="003B278E">
      <w:pPr>
        <w:pStyle w:val="FootnoteText"/>
        <w:rPr>
          <w:rFonts w:ascii="Palatino Linotype" w:hAnsi="Palatino Linotype"/>
        </w:rPr>
      </w:pPr>
      <w:r w:rsidRPr="002A79EA">
        <w:rPr>
          <w:rStyle w:val="FootnoteReference"/>
          <w:rFonts w:ascii="Palatino Linotype" w:hAnsi="Palatino Linotype"/>
        </w:rPr>
        <w:footnoteRef/>
      </w:r>
      <w:r w:rsidRPr="002A79EA">
        <w:rPr>
          <w:rFonts w:ascii="Palatino Linotype" w:hAnsi="Palatino Linotype"/>
        </w:rPr>
        <w:t xml:space="preserve"> </w:t>
      </w:r>
      <w:r w:rsidRPr="002A79EA">
        <w:rPr>
          <w:rFonts w:ascii="Palatino Linotype" w:hAnsi="Palatino Linotype"/>
          <w:i/>
        </w:rPr>
        <w:t>House of Commons Debates</w:t>
      </w:r>
      <w:r w:rsidRPr="002A79EA">
        <w:rPr>
          <w:rFonts w:ascii="Palatino Linotype" w:hAnsi="Palatino Linotype"/>
        </w:rPr>
        <w:t>, 5th series, vol.52, cc.</w:t>
      </w:r>
      <w:r w:rsidR="0012532B" w:rsidRPr="002A79EA">
        <w:rPr>
          <w:rFonts w:ascii="Palatino Linotype" w:hAnsi="Palatino Linotype"/>
        </w:rPr>
        <w:t>112-13, 151, 21 April 1913.</w:t>
      </w:r>
    </w:p>
  </w:footnote>
  <w:footnote w:id="20">
    <w:p w14:paraId="08F5195E" w14:textId="77777777" w:rsidR="00ED0514" w:rsidRDefault="00ED0514" w:rsidP="006769DF">
      <w:pPr>
        <w:spacing w:after="0" w:line="336" w:lineRule="atLeast"/>
      </w:pPr>
      <w:r w:rsidRPr="00ED0514">
        <w:rPr>
          <w:rStyle w:val="FootnoteReference"/>
          <w:rFonts w:ascii="Palatino Linotype" w:hAnsi="Palatino Linotype"/>
          <w:sz w:val="20"/>
          <w:szCs w:val="20"/>
        </w:rPr>
        <w:footnoteRef/>
      </w:r>
      <w:r w:rsidRPr="00ED0514">
        <w:rPr>
          <w:rFonts w:ascii="Palatino Linotype" w:hAnsi="Palatino Linotype"/>
          <w:sz w:val="20"/>
          <w:szCs w:val="20"/>
        </w:rPr>
        <w:t xml:space="preserve"> </w:t>
      </w:r>
      <w:r>
        <w:rPr>
          <w:rFonts w:ascii="Palatino Linotype" w:hAnsi="Palatino Linotype"/>
          <w:i/>
          <w:sz w:val="20"/>
          <w:szCs w:val="20"/>
        </w:rPr>
        <w:t>House of Commons Debates</w:t>
      </w:r>
      <w:r>
        <w:rPr>
          <w:rFonts w:ascii="Palatino Linotype" w:hAnsi="Palatino Linotype"/>
          <w:sz w:val="20"/>
          <w:szCs w:val="20"/>
        </w:rPr>
        <w:t xml:space="preserve">, </w:t>
      </w:r>
      <w:r w:rsidR="006769DF">
        <w:rPr>
          <w:rFonts w:ascii="Palatino Linotype" w:hAnsi="Palatino Linotype"/>
          <w:sz w:val="20"/>
          <w:szCs w:val="20"/>
        </w:rPr>
        <w:t xml:space="preserve">5th series, </w:t>
      </w:r>
      <w:r>
        <w:rPr>
          <w:rFonts w:ascii="Palatino Linotype" w:hAnsi="Palatino Linotype"/>
          <w:sz w:val="20"/>
          <w:szCs w:val="20"/>
        </w:rPr>
        <w:t xml:space="preserve">vol.60, c.1270, 1 </w:t>
      </w:r>
      <w:r w:rsidRPr="00ED0514">
        <w:rPr>
          <w:rStyle w:val="HTMLCite"/>
          <w:rFonts w:ascii="Palatino Linotype" w:hAnsi="Palatino Linotype"/>
          <w:i w:val="0"/>
          <w:iCs w:val="0"/>
          <w:color w:val="000000"/>
          <w:sz w:val="20"/>
          <w:szCs w:val="20"/>
        </w:rPr>
        <w:t>April 1914</w:t>
      </w:r>
      <w:r>
        <w:rPr>
          <w:rStyle w:val="HTMLCite"/>
          <w:rFonts w:ascii="Palatino Linotype" w:hAnsi="Palatino Linotype"/>
          <w:i w:val="0"/>
          <w:iCs w:val="0"/>
          <w:color w:val="000000"/>
          <w:sz w:val="20"/>
          <w:szCs w:val="20"/>
        </w:rPr>
        <w:t>.</w:t>
      </w:r>
    </w:p>
  </w:footnote>
  <w:footnote w:id="21">
    <w:p w14:paraId="3DDAF374" w14:textId="77777777" w:rsidR="006769DF" w:rsidRPr="006769DF" w:rsidRDefault="006769DF" w:rsidP="006769DF">
      <w:pPr>
        <w:pStyle w:val="FootnoteText"/>
        <w:rPr>
          <w:rFonts w:ascii="Palatino Linotype" w:hAnsi="Palatino Linotype"/>
        </w:rPr>
      </w:pPr>
      <w:r w:rsidRPr="006769DF">
        <w:rPr>
          <w:rStyle w:val="FootnoteReference"/>
          <w:rFonts w:ascii="Palatino Linotype" w:hAnsi="Palatino Linotype"/>
        </w:rPr>
        <w:footnoteRef/>
      </w:r>
      <w:r w:rsidRPr="006769DF">
        <w:rPr>
          <w:rFonts w:ascii="Palatino Linotype" w:hAnsi="Palatino Linotype"/>
        </w:rPr>
        <w:t xml:space="preserve"> </w:t>
      </w:r>
      <w:r w:rsidRPr="006769DF">
        <w:rPr>
          <w:rFonts w:ascii="Palatino Linotype" w:hAnsi="Palatino Linotype"/>
          <w:i/>
        </w:rPr>
        <w:t>House</w:t>
      </w:r>
      <w:r>
        <w:rPr>
          <w:rFonts w:ascii="Palatino Linotype" w:hAnsi="Palatino Linotype"/>
          <w:i/>
        </w:rPr>
        <w:t xml:space="preserve"> of Commons Debates</w:t>
      </w:r>
      <w:r>
        <w:rPr>
          <w:rFonts w:ascii="Palatino Linotype" w:hAnsi="Palatino Linotype"/>
        </w:rPr>
        <w:t>, 5th series, vol.60, c</w:t>
      </w:r>
      <w:proofErr w:type="gramStart"/>
      <w:r>
        <w:rPr>
          <w:rFonts w:ascii="Palatino Linotype" w:hAnsi="Palatino Linotype"/>
        </w:rPr>
        <w:t>..</w:t>
      </w:r>
      <w:proofErr w:type="gramEnd"/>
      <w:r>
        <w:rPr>
          <w:rFonts w:ascii="Palatino Linotype" w:hAnsi="Palatino Linotype"/>
        </w:rPr>
        <w:t>1282-1307, 1 April 1914.</w:t>
      </w:r>
    </w:p>
  </w:footnote>
  <w:footnote w:id="22">
    <w:p w14:paraId="13BA8DD9" w14:textId="77777777" w:rsidR="00693A7A" w:rsidRPr="0067765C" w:rsidRDefault="00693A7A">
      <w:pPr>
        <w:pStyle w:val="FootnoteText"/>
        <w:rPr>
          <w:rFonts w:ascii="Palatino Linotype" w:hAnsi="Palatino Linotype"/>
        </w:rPr>
      </w:pPr>
      <w:r w:rsidRPr="0067765C">
        <w:rPr>
          <w:rStyle w:val="FootnoteReference"/>
          <w:rFonts w:ascii="Palatino Linotype" w:hAnsi="Palatino Linotype"/>
        </w:rPr>
        <w:footnoteRef/>
      </w:r>
      <w:r w:rsidRPr="0067765C">
        <w:rPr>
          <w:rFonts w:ascii="Palatino Linotype" w:hAnsi="Palatino Linotype"/>
        </w:rPr>
        <w:t xml:space="preserve"> </w:t>
      </w:r>
      <w:r w:rsidR="0067765C" w:rsidRPr="0067765C">
        <w:rPr>
          <w:rFonts w:ascii="Palatino Linotype" w:hAnsi="Palatino Linotype"/>
        </w:rPr>
        <w:t xml:space="preserve">Peter </w:t>
      </w:r>
      <w:proofErr w:type="spellStart"/>
      <w:r w:rsidR="0067765C" w:rsidRPr="0067765C">
        <w:rPr>
          <w:rFonts w:ascii="Palatino Linotype" w:hAnsi="Palatino Linotype"/>
        </w:rPr>
        <w:t>Catterall</w:t>
      </w:r>
      <w:proofErr w:type="spellEnd"/>
      <w:r w:rsidR="0067765C" w:rsidRPr="0067765C">
        <w:rPr>
          <w:rFonts w:ascii="Palatino Linotype" w:hAnsi="Palatino Linotype"/>
        </w:rPr>
        <w:t xml:space="preserve">, '"Efficiency with Freedom?" </w:t>
      </w:r>
      <w:proofErr w:type="gramStart"/>
      <w:r w:rsidR="0067765C" w:rsidRPr="0067765C">
        <w:rPr>
          <w:rFonts w:ascii="Palatino Linotype" w:hAnsi="Palatino Linotype"/>
        </w:rPr>
        <w:t xml:space="preserve">Debates about the British Constitution in the Twentieth Century' in Peter </w:t>
      </w:r>
      <w:proofErr w:type="spellStart"/>
      <w:r w:rsidR="0067765C" w:rsidRPr="0067765C">
        <w:rPr>
          <w:rFonts w:ascii="Palatino Linotype" w:hAnsi="Palatino Linotype"/>
        </w:rPr>
        <w:t>Catterall</w:t>
      </w:r>
      <w:proofErr w:type="spellEnd"/>
      <w:r w:rsidR="0067765C" w:rsidRPr="0067765C">
        <w:rPr>
          <w:rFonts w:ascii="Palatino Linotype" w:hAnsi="Palatino Linotype"/>
        </w:rPr>
        <w:t>, Wolfram Kaiser and Ulrike Walton-Jordan (</w:t>
      </w:r>
      <w:proofErr w:type="spellStart"/>
      <w:r w:rsidR="0067765C" w:rsidRPr="0067765C">
        <w:rPr>
          <w:rFonts w:ascii="Palatino Linotype" w:hAnsi="Palatino Linotype"/>
        </w:rPr>
        <w:t>eds</w:t>
      </w:r>
      <w:proofErr w:type="spellEnd"/>
      <w:r w:rsidR="0067765C" w:rsidRPr="0067765C">
        <w:rPr>
          <w:rFonts w:ascii="Palatino Linotype" w:hAnsi="Palatino Linotype"/>
        </w:rPr>
        <w:t xml:space="preserve">) </w:t>
      </w:r>
      <w:r w:rsidR="0067765C" w:rsidRPr="0067765C">
        <w:rPr>
          <w:rFonts w:ascii="Palatino Linotype" w:hAnsi="Palatino Linotype"/>
          <w:i/>
        </w:rPr>
        <w:t>Reforming the Constitution: Debates in Twentieth-Century Britain</w:t>
      </w:r>
      <w:r w:rsidR="0067765C" w:rsidRPr="0067765C">
        <w:rPr>
          <w:rFonts w:ascii="Palatino Linotype" w:hAnsi="Palatino Linotype"/>
        </w:rPr>
        <w:t xml:space="preserve"> (London: Cass, 2000), p.2.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C205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3140"/>
    <w:rsid w:val="00005EC0"/>
    <w:rsid w:val="0003149A"/>
    <w:rsid w:val="00035D41"/>
    <w:rsid w:val="00047013"/>
    <w:rsid w:val="00090EE8"/>
    <w:rsid w:val="00092065"/>
    <w:rsid w:val="000A632E"/>
    <w:rsid w:val="000B430F"/>
    <w:rsid w:val="0012532B"/>
    <w:rsid w:val="0017209D"/>
    <w:rsid w:val="00190DC2"/>
    <w:rsid w:val="0022309F"/>
    <w:rsid w:val="00287D22"/>
    <w:rsid w:val="002A043F"/>
    <w:rsid w:val="002A79EA"/>
    <w:rsid w:val="002D021B"/>
    <w:rsid w:val="002D3D86"/>
    <w:rsid w:val="002E1B0F"/>
    <w:rsid w:val="00365EAE"/>
    <w:rsid w:val="00376D0D"/>
    <w:rsid w:val="0039119C"/>
    <w:rsid w:val="003B278E"/>
    <w:rsid w:val="00513361"/>
    <w:rsid w:val="0051641C"/>
    <w:rsid w:val="005254DE"/>
    <w:rsid w:val="005409DB"/>
    <w:rsid w:val="0056022B"/>
    <w:rsid w:val="0056301C"/>
    <w:rsid w:val="00566157"/>
    <w:rsid w:val="005A7A3E"/>
    <w:rsid w:val="006346AE"/>
    <w:rsid w:val="00641A5F"/>
    <w:rsid w:val="006769DF"/>
    <w:rsid w:val="0067765C"/>
    <w:rsid w:val="00693A7A"/>
    <w:rsid w:val="006C6D48"/>
    <w:rsid w:val="006D757E"/>
    <w:rsid w:val="006E3D73"/>
    <w:rsid w:val="00751AF0"/>
    <w:rsid w:val="0076073C"/>
    <w:rsid w:val="00761349"/>
    <w:rsid w:val="00786003"/>
    <w:rsid w:val="007933E8"/>
    <w:rsid w:val="007A04D6"/>
    <w:rsid w:val="007B3819"/>
    <w:rsid w:val="007C5E5F"/>
    <w:rsid w:val="00867869"/>
    <w:rsid w:val="00882F47"/>
    <w:rsid w:val="00883E55"/>
    <w:rsid w:val="008A2A72"/>
    <w:rsid w:val="009056DA"/>
    <w:rsid w:val="00972DE4"/>
    <w:rsid w:val="0097690D"/>
    <w:rsid w:val="009819B0"/>
    <w:rsid w:val="009A7145"/>
    <w:rsid w:val="009D7C12"/>
    <w:rsid w:val="009F11D5"/>
    <w:rsid w:val="00A06C31"/>
    <w:rsid w:val="00A13C41"/>
    <w:rsid w:val="00A30E05"/>
    <w:rsid w:val="00AB0B24"/>
    <w:rsid w:val="00AB2AC2"/>
    <w:rsid w:val="00AD35A7"/>
    <w:rsid w:val="00B6120C"/>
    <w:rsid w:val="00B65CEB"/>
    <w:rsid w:val="00B71B52"/>
    <w:rsid w:val="00B82C67"/>
    <w:rsid w:val="00B96478"/>
    <w:rsid w:val="00BC62F0"/>
    <w:rsid w:val="00C44763"/>
    <w:rsid w:val="00C55210"/>
    <w:rsid w:val="00CD2461"/>
    <w:rsid w:val="00CE3140"/>
    <w:rsid w:val="00CF0EA0"/>
    <w:rsid w:val="00CF62A6"/>
    <w:rsid w:val="00D01A87"/>
    <w:rsid w:val="00D236F6"/>
    <w:rsid w:val="00D33EDA"/>
    <w:rsid w:val="00D519D1"/>
    <w:rsid w:val="00D531F9"/>
    <w:rsid w:val="00D660F8"/>
    <w:rsid w:val="00D97F78"/>
    <w:rsid w:val="00DB4DC5"/>
    <w:rsid w:val="00DF2420"/>
    <w:rsid w:val="00E40E00"/>
    <w:rsid w:val="00EC2240"/>
    <w:rsid w:val="00ED0514"/>
    <w:rsid w:val="00EE1321"/>
    <w:rsid w:val="00EF2679"/>
    <w:rsid w:val="00F03851"/>
    <w:rsid w:val="00F934FE"/>
    <w:rsid w:val="00FF16D1"/>
    <w:rsid w:val="00FF5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7145"/>
    <w:pPr>
      <w:spacing w:after="0" w:line="240" w:lineRule="auto"/>
    </w:pPr>
    <w:rPr>
      <w:sz w:val="20"/>
      <w:szCs w:val="20"/>
    </w:rPr>
  </w:style>
  <w:style w:type="character" w:customStyle="1" w:styleId="FootnoteTextChar">
    <w:name w:val="Footnote Text Char"/>
    <w:basedOn w:val="DefaultParagraphFont"/>
    <w:link w:val="FootnoteText"/>
    <w:uiPriority w:val="99"/>
    <w:rsid w:val="009A7145"/>
    <w:rPr>
      <w:sz w:val="20"/>
      <w:szCs w:val="20"/>
    </w:rPr>
  </w:style>
  <w:style w:type="character" w:styleId="FootnoteReference">
    <w:name w:val="footnote reference"/>
    <w:basedOn w:val="DefaultParagraphFont"/>
    <w:uiPriority w:val="99"/>
    <w:semiHidden/>
    <w:unhideWhenUsed/>
    <w:rsid w:val="009A7145"/>
    <w:rPr>
      <w:vertAlign w:val="superscript"/>
    </w:rPr>
  </w:style>
  <w:style w:type="character" w:styleId="Hyperlink">
    <w:name w:val="Hyperlink"/>
    <w:basedOn w:val="DefaultParagraphFont"/>
    <w:uiPriority w:val="99"/>
    <w:semiHidden/>
    <w:unhideWhenUsed/>
    <w:rsid w:val="00786003"/>
    <w:rPr>
      <w:color w:val="0000FF"/>
      <w:u w:val="single"/>
    </w:rPr>
  </w:style>
  <w:style w:type="character" w:styleId="HTMLCite">
    <w:name w:val="HTML Cite"/>
    <w:basedOn w:val="DefaultParagraphFont"/>
    <w:uiPriority w:val="99"/>
    <w:semiHidden/>
    <w:unhideWhenUsed/>
    <w:rsid w:val="00786003"/>
    <w:rPr>
      <w:i/>
      <w:iCs/>
    </w:rPr>
  </w:style>
  <w:style w:type="paragraph" w:customStyle="1" w:styleId="first-para">
    <w:name w:val="first-para"/>
    <w:basedOn w:val="Normal"/>
    <w:rsid w:val="00EE1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92065"/>
  </w:style>
  <w:style w:type="table" w:styleId="TableGrid">
    <w:name w:val="Table Grid"/>
    <w:basedOn w:val="TableNormal"/>
    <w:uiPriority w:val="59"/>
    <w:rsid w:val="00AB2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AB2AC2"/>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hansard.millbanksystems.com/acts/habeas-corpus-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C6365-173F-F94E-9B1F-821BE21E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9</Pages>
  <Words>2858</Words>
  <Characters>16295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Mark Gill</cp:lastModifiedBy>
  <cp:revision>45</cp:revision>
  <dcterms:created xsi:type="dcterms:W3CDTF">2015-12-30T07:26:00Z</dcterms:created>
  <dcterms:modified xsi:type="dcterms:W3CDTF">2016-01-06T16:43:00Z</dcterms:modified>
</cp:coreProperties>
</file>